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pStyle w:val="Title"/>
        <w:spacing w:after="0" w:before="0" w:line="240" w:lineRule="auto"/>
        <w:ind w:firstLine="1006"/>
        <w:rPr>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495300</wp:posOffset>
                </wp:positionH>
                <wp:positionV relativeFrom="paragraph">
                  <wp:posOffset>0</wp:posOffset>
                </wp:positionV>
                <wp:extent cx="6130290" cy="2444750"/>
                <wp:effectExtent b="0" l="0" r="0" t="0"/>
                <wp:wrapNone/>
                <wp:docPr id="66" name=""/>
                <a:graphic>
                  <a:graphicData uri="http://schemas.microsoft.com/office/word/2010/wordprocessingShape">
                    <wps:wsp>
                      <wps:cNvSpPr/>
                      <wps:cNvPr id="5" name="Shape 5"/>
                      <wps:spPr>
                        <a:xfrm>
                          <a:off x="2299905" y="2576675"/>
                          <a:ext cx="6092190" cy="2406650"/>
                        </a:xfrm>
                        <a:prstGeom prst="rect">
                          <a:avLst/>
                        </a:prstGeom>
                        <a:solidFill>
                          <a:schemeClr val="lt1"/>
                        </a:solidFill>
                        <a:ln cap="flat" cmpd="sng" w="12700">
                          <a:solidFill>
                            <a:srgbClr val="BF9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wp:posOffset>
                </wp:positionH>
                <wp:positionV relativeFrom="paragraph">
                  <wp:posOffset>0</wp:posOffset>
                </wp:positionV>
                <wp:extent cx="6130290" cy="2444750"/>
                <wp:effectExtent b="0" l="0" r="0" t="0"/>
                <wp:wrapNone/>
                <wp:docPr id="6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130290" cy="2444750"/>
                        </a:xfrm>
                        <a:prstGeom prst="rect"/>
                        <a:ln/>
                      </pic:spPr>
                    </pic:pic>
                  </a:graphicData>
                </a:graphic>
              </wp:anchor>
            </w:drawing>
          </mc:Fallback>
        </mc:AlternateContent>
      </w:r>
    </w:p>
    <w:p w:rsidR="00000000" w:rsidDel="00000000" w:rsidP="00000000" w:rsidRDefault="00000000" w:rsidRPr="00000000" w14:paraId="00000006">
      <w:pPr>
        <w:pStyle w:val="Title"/>
        <w:spacing w:after="0" w:before="0" w:line="240" w:lineRule="auto"/>
        <w:ind w:firstLine="1006"/>
        <w:rPr>
          <w:sz w:val="22"/>
          <w:szCs w:val="22"/>
        </w:rPr>
      </w:pPr>
      <w:r w:rsidDel="00000000" w:rsidR="00000000" w:rsidRPr="00000000">
        <w:rPr>
          <w:rtl w:val="0"/>
        </w:rPr>
      </w:r>
    </w:p>
    <w:p w:rsidR="00000000" w:rsidDel="00000000" w:rsidP="00000000" w:rsidRDefault="00000000" w:rsidRPr="00000000" w14:paraId="00000007">
      <w:pPr>
        <w:pStyle w:val="Title"/>
        <w:spacing w:after="0" w:before="0" w:line="240" w:lineRule="auto"/>
        <w:ind w:firstLine="1006"/>
        <w:rPr>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2082800</wp:posOffset>
                </wp:positionH>
                <wp:positionV relativeFrom="paragraph">
                  <wp:posOffset>38100</wp:posOffset>
                </wp:positionV>
                <wp:extent cx="4562475" cy="215900"/>
                <wp:effectExtent b="0" l="0" r="0" t="0"/>
                <wp:wrapNone/>
                <wp:docPr id="65" name=""/>
                <a:graphic>
                  <a:graphicData uri="http://schemas.microsoft.com/office/word/2010/wordprocessingShape">
                    <wps:wsp>
                      <wps:cNvSpPr/>
                      <wps:cNvPr id="4" name="Shape 4"/>
                      <wps:spPr>
                        <a:xfrm>
                          <a:off x="3079050" y="3686338"/>
                          <a:ext cx="4533900" cy="187325"/>
                        </a:xfrm>
                        <a:prstGeom prst="rect">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2082800</wp:posOffset>
                </wp:positionH>
                <wp:positionV relativeFrom="paragraph">
                  <wp:posOffset>38100</wp:posOffset>
                </wp:positionV>
                <wp:extent cx="4562475" cy="215900"/>
                <wp:effectExtent b="0" l="0" r="0" t="0"/>
                <wp:wrapNone/>
                <wp:docPr id="6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562475" cy="215900"/>
                        </a:xfrm>
                        <a:prstGeom prst="rect"/>
                        <a:ln/>
                      </pic:spPr>
                    </pic:pic>
                  </a:graphicData>
                </a:graphic>
              </wp:anchor>
            </w:drawing>
          </mc:Fallback>
        </mc:AlternateContent>
      </w:r>
    </w:p>
    <w:p w:rsidR="00000000" w:rsidDel="00000000" w:rsidP="00000000" w:rsidRDefault="00000000" w:rsidRPr="00000000" w14:paraId="00000008">
      <w:pPr>
        <w:spacing w:after="0" w:line="240" w:lineRule="auto"/>
        <w:ind w:left="1006" w:right="1006"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after="0" w:line="240" w:lineRule="auto"/>
        <w:ind w:left="2124" w:right="-263" w:hanging="706"/>
        <w:jc w:val="center"/>
        <w:rPr>
          <w:rFonts w:ascii="Arial" w:cs="Arial" w:eastAsia="Arial" w:hAnsi="Arial"/>
          <w:b w:val="1"/>
          <w:color w:val="434343"/>
        </w:rPr>
      </w:pPr>
      <w:r w:rsidDel="00000000" w:rsidR="00000000" w:rsidRPr="00000000">
        <w:rPr>
          <w:rFonts w:ascii="Arial" w:cs="Arial" w:eastAsia="Arial" w:hAnsi="Arial"/>
          <w:b w:val="1"/>
          <w:color w:val="434343"/>
          <w:rtl w:val="0"/>
        </w:rPr>
        <w:t xml:space="preserve">Plan de Austeridad del Gasto Público</w:t>
      </w:r>
    </w:p>
    <w:p w:rsidR="00000000" w:rsidDel="00000000" w:rsidP="00000000" w:rsidRDefault="00000000" w:rsidRPr="00000000" w14:paraId="0000000A">
      <w:pPr>
        <w:tabs>
          <w:tab w:val="center" w:leader="none" w:pos="6094"/>
          <w:tab w:val="left" w:leader="none" w:pos="7334"/>
        </w:tabs>
        <w:spacing w:after="0" w:line="240" w:lineRule="auto"/>
        <w:ind w:left="2124" w:right="-263" w:firstLine="0"/>
        <w:rPr>
          <w:rFonts w:ascii="Arial" w:cs="Arial" w:eastAsia="Arial" w:hAnsi="Arial"/>
          <w:b w:val="1"/>
          <w:color w:val="434343"/>
        </w:rPr>
      </w:pPr>
      <w:r w:rsidDel="00000000" w:rsidR="00000000" w:rsidRPr="00000000">
        <w:rPr>
          <w:rtl w:val="0"/>
        </w:rPr>
      </w:r>
    </w:p>
    <w:p w:rsidR="00000000" w:rsidDel="00000000" w:rsidP="00000000" w:rsidRDefault="00000000" w:rsidRPr="00000000" w14:paraId="0000000B">
      <w:pPr>
        <w:tabs>
          <w:tab w:val="center" w:leader="none" w:pos="6094"/>
          <w:tab w:val="left" w:leader="none" w:pos="7334"/>
        </w:tabs>
        <w:spacing w:after="0" w:line="240" w:lineRule="auto"/>
        <w:ind w:left="2124" w:right="-263" w:firstLine="0"/>
        <w:rPr>
          <w:rFonts w:ascii="Arial" w:cs="Arial" w:eastAsia="Arial" w:hAnsi="Arial"/>
          <w:b w:val="1"/>
        </w:rPr>
      </w:pPr>
      <w:r w:rsidDel="00000000" w:rsidR="00000000" w:rsidRPr="00000000">
        <w:rPr>
          <w:rFonts w:ascii="Arial" w:cs="Arial" w:eastAsia="Arial" w:hAnsi="Arial"/>
          <w:b w:val="1"/>
          <w:rtl w:val="0"/>
        </w:rPr>
        <w:tab/>
        <w:t xml:space="preserve">2024</w:t>
      </w:r>
    </w:p>
    <w:p w:rsidR="00000000" w:rsidDel="00000000" w:rsidP="00000000" w:rsidRDefault="00000000" w:rsidRPr="00000000" w14:paraId="0000000C">
      <w:pPr>
        <w:tabs>
          <w:tab w:val="center" w:leader="none" w:pos="6094"/>
          <w:tab w:val="left" w:leader="none" w:pos="7334"/>
        </w:tabs>
        <w:spacing w:after="0" w:line="240" w:lineRule="auto"/>
        <w:ind w:left="2124" w:right="-263" w:firstLine="0"/>
        <w:rPr>
          <w:rFonts w:ascii="Arial" w:cs="Arial" w:eastAsia="Arial" w:hAnsi="Arial"/>
          <w:b w:val="1"/>
        </w:rPr>
      </w:pPr>
      <w:r w:rsidDel="00000000" w:rsidR="00000000" w:rsidRPr="00000000">
        <w:rPr>
          <w:rFonts w:ascii="Arial" w:cs="Arial" w:eastAsia="Arial" w:hAnsi="Arial"/>
          <w:b w:val="1"/>
          <w:rtl w:val="0"/>
        </w:rPr>
        <w:tab/>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-533399</wp:posOffset>
                </wp:positionH>
                <wp:positionV relativeFrom="paragraph">
                  <wp:posOffset>88900</wp:posOffset>
                </wp:positionV>
                <wp:extent cx="4562475" cy="215900"/>
                <wp:effectExtent b="0" l="0" r="0" t="0"/>
                <wp:wrapNone/>
                <wp:docPr id="63" name=""/>
                <a:graphic>
                  <a:graphicData uri="http://schemas.microsoft.com/office/word/2010/wordprocessingShape">
                    <wps:wsp>
                      <wps:cNvSpPr/>
                      <wps:cNvPr id="2" name="Shape 2"/>
                      <wps:spPr>
                        <a:xfrm>
                          <a:off x="3079050" y="3686338"/>
                          <a:ext cx="4533900" cy="187325"/>
                        </a:xfrm>
                        <a:prstGeom prst="rect">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-533399</wp:posOffset>
                </wp:positionH>
                <wp:positionV relativeFrom="paragraph">
                  <wp:posOffset>88900</wp:posOffset>
                </wp:positionV>
                <wp:extent cx="4562475" cy="215900"/>
                <wp:effectExtent b="0" l="0" r="0" t="0"/>
                <wp:wrapNone/>
                <wp:docPr id="6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562475" cy="215900"/>
                        </a:xfrm>
                        <a:prstGeom prst="rect"/>
                        <a:ln/>
                      </pic:spPr>
                    </pic:pic>
                  </a:graphicData>
                </a:graphic>
              </wp:anchor>
            </w:drawing>
          </mc:Fallback>
        </mc:AlternateConten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432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jc w:val="center"/>
        <w:rPr>
          <w:rFonts w:ascii="Arial" w:cs="Arial" w:eastAsia="Arial" w:hAnsi="Arial"/>
          <w:b w:val="1"/>
          <w:color w:val="434343"/>
          <w:sz w:val="20"/>
          <w:szCs w:val="20"/>
        </w:rPr>
      </w:pPr>
      <w:r w:rsidDel="00000000" w:rsidR="00000000" w:rsidRPr="00000000">
        <w:rPr>
          <w:rFonts w:ascii="Arial" w:cs="Arial" w:eastAsia="Arial" w:hAnsi="Arial"/>
          <w:b w:val="1"/>
          <w:color w:val="434343"/>
          <w:sz w:val="20"/>
          <w:szCs w:val="20"/>
          <w:rtl w:val="0"/>
        </w:rPr>
        <w:t xml:space="preserve">PLAN DE AUSTERIDAD DEL GASTO PÚBLICO</w:t>
      </w:r>
    </w:p>
    <w:p w:rsidR="00000000" w:rsidDel="00000000" w:rsidP="00000000" w:rsidRDefault="00000000" w:rsidRPr="00000000" w14:paraId="00000026">
      <w:pPr>
        <w:spacing w:after="0" w:line="240" w:lineRule="auto"/>
        <w:jc w:val="center"/>
        <w:rPr>
          <w:rFonts w:ascii="Arial" w:cs="Arial" w:eastAsia="Arial" w:hAnsi="Arial"/>
          <w:b w:val="1"/>
          <w:color w:val="434343"/>
          <w:sz w:val="20"/>
          <w:szCs w:val="20"/>
        </w:rPr>
      </w:pPr>
      <w:r w:rsidDel="00000000" w:rsidR="00000000" w:rsidRPr="00000000">
        <w:rPr>
          <w:rFonts w:ascii="Arial" w:cs="Arial" w:eastAsia="Arial" w:hAnsi="Arial"/>
          <w:b w:val="1"/>
          <w:color w:val="434343"/>
          <w:sz w:val="20"/>
          <w:szCs w:val="20"/>
          <w:rtl w:val="0"/>
        </w:rPr>
        <w:t xml:space="preserve">FUNDACIÓN GILBERTO ALZATE AVENDAÑO </w:t>
      </w:r>
    </w:p>
    <w:p w:rsidR="00000000" w:rsidDel="00000000" w:rsidP="00000000" w:rsidRDefault="00000000" w:rsidRPr="00000000" w14:paraId="00000027">
      <w:pPr>
        <w:spacing w:after="0" w:line="240" w:lineRule="auto"/>
        <w:jc w:val="center"/>
        <w:rPr>
          <w:rFonts w:ascii="Arial" w:cs="Arial" w:eastAsia="Arial" w:hAnsi="Arial"/>
          <w:b w:val="1"/>
          <w:color w:val="434343"/>
          <w:sz w:val="20"/>
          <w:szCs w:val="20"/>
        </w:rPr>
      </w:pPr>
      <w:r w:rsidDel="00000000" w:rsidR="00000000" w:rsidRPr="00000000">
        <w:rPr>
          <w:rFonts w:ascii="Arial" w:cs="Arial" w:eastAsia="Arial" w:hAnsi="Arial"/>
          <w:b w:val="1"/>
          <w:color w:val="434343"/>
          <w:sz w:val="20"/>
          <w:szCs w:val="20"/>
          <w:rtl w:val="0"/>
        </w:rPr>
        <w:t xml:space="preserve">PERIODO: 01 de enero al 31 de diciembre 2024</w:t>
      </w:r>
    </w:p>
    <w:p w:rsidR="00000000" w:rsidDel="00000000" w:rsidP="00000000" w:rsidRDefault="00000000" w:rsidRPr="00000000" w14:paraId="00000028">
      <w:pPr>
        <w:spacing w:after="0" w:line="240" w:lineRule="auto"/>
        <w:jc w:val="center"/>
        <w:rPr>
          <w:rFonts w:ascii="Arial" w:cs="Arial" w:eastAsia="Arial" w:hAnsi="Arial"/>
          <w:b w:val="1"/>
          <w:color w:val="4472c4"/>
          <w:sz w:val="20"/>
          <w:szCs w:val="20"/>
        </w:rPr>
      </w:pPr>
      <w:r w:rsidDel="00000000" w:rsidR="00000000" w:rsidRPr="00000000">
        <w:rPr>
          <w:rtl w:val="0"/>
        </w:rPr>
      </w:r>
    </w:p>
    <w:p w:rsidR="00000000" w:rsidDel="00000000" w:rsidP="00000000" w:rsidRDefault="00000000" w:rsidRPr="00000000" w14:paraId="00000029">
      <w:pPr>
        <w:spacing w:after="0" w:line="240" w:lineRule="auto"/>
        <w:jc w:val="center"/>
        <w:rPr>
          <w:rFonts w:ascii="Arial" w:cs="Arial" w:eastAsia="Arial" w:hAnsi="Arial"/>
          <w:b w:val="1"/>
          <w:color w:val="4472c4"/>
          <w:sz w:val="20"/>
          <w:szCs w:val="20"/>
        </w:rPr>
      </w:pPr>
      <w:r w:rsidDel="00000000" w:rsidR="00000000" w:rsidRPr="00000000">
        <w:rPr>
          <w:rtl w:val="0"/>
        </w:rPr>
      </w:r>
    </w:p>
    <w:p w:rsidR="00000000" w:rsidDel="00000000" w:rsidP="00000000" w:rsidRDefault="00000000" w:rsidRPr="00000000" w14:paraId="0000002A">
      <w:pPr>
        <w:spacing w:after="0" w:line="240" w:lineRule="auto"/>
        <w:jc w:val="center"/>
        <w:rPr>
          <w:rFonts w:ascii="Arial" w:cs="Arial" w:eastAsia="Arial" w:hAnsi="Arial"/>
          <w:b w:val="1"/>
          <w:color w:val="434343"/>
          <w:sz w:val="20"/>
          <w:szCs w:val="20"/>
        </w:rPr>
      </w:pPr>
      <w:r w:rsidDel="00000000" w:rsidR="00000000" w:rsidRPr="00000000">
        <w:rPr>
          <w:rtl w:val="0"/>
        </w:rPr>
      </w:r>
    </w:p>
    <w:p w:rsidR="00000000" w:rsidDel="00000000" w:rsidP="00000000" w:rsidRDefault="00000000" w:rsidRPr="00000000" w14:paraId="0000002B">
      <w:pPr>
        <w:numPr>
          <w:ilvl w:val="1"/>
          <w:numId w:val="3"/>
        </w:numPr>
        <w:pBdr>
          <w:top w:space="0" w:sz="0" w:val="nil"/>
          <w:left w:space="0" w:sz="0" w:val="nil"/>
          <w:bottom w:space="0" w:sz="0" w:val="nil"/>
          <w:right w:space="0" w:sz="0" w:val="nil"/>
          <w:between w:space="0" w:sz="0" w:val="nil"/>
        </w:pBdr>
        <w:spacing w:after="0" w:line="240" w:lineRule="auto"/>
        <w:ind w:left="426" w:hanging="426"/>
        <w:rPr>
          <w:rFonts w:ascii="Arial" w:cs="Arial" w:eastAsia="Arial" w:hAnsi="Arial"/>
          <w:color w:val="434343"/>
          <w:sz w:val="20"/>
          <w:szCs w:val="20"/>
        </w:rPr>
      </w:pPr>
      <w:r w:rsidDel="00000000" w:rsidR="00000000" w:rsidRPr="00000000">
        <w:rPr>
          <w:rFonts w:ascii="Arial" w:cs="Arial" w:eastAsia="Arial" w:hAnsi="Arial"/>
          <w:b w:val="1"/>
          <w:color w:val="434343"/>
          <w:sz w:val="20"/>
          <w:szCs w:val="20"/>
          <w:rtl w:val="0"/>
        </w:rPr>
        <w:t xml:space="preserve">FORMULACIÓN 2024</w:t>
      </w:r>
    </w:p>
    <w:p w:rsidR="00000000" w:rsidDel="00000000" w:rsidP="00000000" w:rsidRDefault="00000000" w:rsidRPr="00000000" w14:paraId="0000002C">
      <w:pPr>
        <w:spacing w:after="0" w:line="240" w:lineRule="auto"/>
        <w:jc w:val="both"/>
        <w:rPr>
          <w:rFonts w:ascii="Arial" w:cs="Arial" w:eastAsia="Arial" w:hAnsi="Arial"/>
          <w:b w:val="1"/>
          <w:color w:val="434343"/>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Arial" w:cs="Arial" w:eastAsia="Arial" w:hAnsi="Arial"/>
          <w:b w:val="1"/>
          <w:color w:val="434343"/>
          <w:sz w:val="20"/>
          <w:szCs w:val="20"/>
        </w:rPr>
      </w:pPr>
      <w:r w:rsidDel="00000000" w:rsidR="00000000" w:rsidRPr="00000000">
        <w:rPr>
          <w:rFonts w:ascii="Arial" w:cs="Arial" w:eastAsia="Arial" w:hAnsi="Arial"/>
          <w:b w:val="1"/>
          <w:sz w:val="20"/>
          <w:szCs w:val="20"/>
          <w:rtl w:val="0"/>
        </w:rPr>
        <w:t xml:space="preserve">Objetivo Plan de austeridad de gasto públi</w:t>
      </w:r>
      <w:r w:rsidDel="00000000" w:rsidR="00000000" w:rsidRPr="00000000">
        <w:rPr>
          <w:rFonts w:ascii="Arial" w:cs="Arial" w:eastAsia="Arial" w:hAnsi="Arial"/>
          <w:b w:val="1"/>
          <w:color w:val="434343"/>
          <w:sz w:val="20"/>
          <w:szCs w:val="20"/>
          <w:rtl w:val="0"/>
        </w:rPr>
        <w:t xml:space="preserve">co</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434343"/>
          <w:sz w:val="20"/>
          <w:szCs w:val="20"/>
        </w:rPr>
      </w:pPr>
      <w:r w:rsidDel="00000000" w:rsidR="00000000" w:rsidRPr="00000000">
        <w:rPr>
          <w:rtl w:val="0"/>
        </w:rPr>
      </w:r>
    </w:p>
    <w:p w:rsidR="00000000" w:rsidDel="00000000" w:rsidP="00000000" w:rsidRDefault="00000000" w:rsidRPr="00000000" w14:paraId="0000002F">
      <w:pPr>
        <w:spacing w:after="0" w:line="240" w:lineRule="auto"/>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Generar acciones al fortalecimiento del uso racional de los recursos públicos asignados a la entidad, a través de acciones eficientes de austeridad en el gasto público.</w:t>
      </w:r>
    </w:p>
    <w:p w:rsidR="00000000" w:rsidDel="00000000" w:rsidP="00000000" w:rsidRDefault="00000000" w:rsidRPr="00000000" w14:paraId="00000030">
      <w:pPr>
        <w:spacing w:after="0" w:line="240" w:lineRule="auto"/>
        <w:jc w:val="both"/>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31">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Objetivos específicos</w:t>
      </w:r>
    </w:p>
    <w:p w:rsidR="00000000" w:rsidDel="00000000" w:rsidP="00000000" w:rsidRDefault="00000000" w:rsidRPr="00000000" w14:paraId="00000032">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numPr>
          <w:ilvl w:val="0"/>
          <w:numId w:val="4"/>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Disminuir los gastos de funcionamiento relacionados con el rubro de capacitación.</w:t>
      </w:r>
    </w:p>
    <w:p w:rsidR="00000000" w:rsidDel="00000000" w:rsidP="00000000" w:rsidRDefault="00000000" w:rsidRPr="00000000" w14:paraId="00000034">
      <w:pPr>
        <w:numPr>
          <w:ilvl w:val="0"/>
          <w:numId w:val="4"/>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Definir indicadores de austeridad y cumplimiento en concordancia con las metas establecidas en el plan de acción del presente documento.</w:t>
      </w:r>
    </w:p>
    <w:p w:rsidR="00000000" w:rsidDel="00000000" w:rsidP="00000000" w:rsidRDefault="00000000" w:rsidRPr="00000000" w14:paraId="00000035">
      <w:pPr>
        <w:numPr>
          <w:ilvl w:val="0"/>
          <w:numId w:val="4"/>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Establecer dentro de la entidad funciones y responsabilidades para la consolidación, análisis y presentación de balances relacionados con la implementación de medidas de austeridad contenidas en el presente plan.</w:t>
      </w:r>
    </w:p>
    <w:p w:rsidR="00000000" w:rsidDel="00000000" w:rsidP="00000000" w:rsidRDefault="00000000" w:rsidRPr="00000000" w14:paraId="00000036">
      <w:pPr>
        <w:spacing w:after="0" w:line="240" w:lineRule="auto"/>
        <w:jc w:val="both"/>
        <w:rPr>
          <w:rFonts w:ascii="Arial" w:cs="Arial" w:eastAsia="Arial" w:hAnsi="Arial"/>
          <w:color w:val="4472c4"/>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Arial" w:cs="Arial" w:eastAsia="Arial" w:hAnsi="Arial"/>
          <w:color w:val="4472c4"/>
          <w:sz w:val="20"/>
          <w:szCs w:val="20"/>
        </w:rPr>
      </w:pPr>
      <w:r w:rsidDel="00000000" w:rsidR="00000000" w:rsidRPr="00000000">
        <w:rPr>
          <w:rtl w:val="0"/>
        </w:rPr>
      </w:r>
    </w:p>
    <w:p w:rsidR="00000000" w:rsidDel="00000000" w:rsidP="00000000" w:rsidRDefault="00000000" w:rsidRPr="00000000" w14:paraId="00000038">
      <w:pPr>
        <w:numPr>
          <w:ilvl w:val="1"/>
          <w:numId w:val="3"/>
        </w:numPr>
        <w:pBdr>
          <w:top w:space="0" w:sz="0" w:val="nil"/>
          <w:left w:space="0" w:sz="0" w:val="nil"/>
          <w:bottom w:space="0" w:sz="0" w:val="nil"/>
          <w:right w:space="0" w:sz="0" w:val="nil"/>
          <w:between w:space="0" w:sz="0" w:val="nil"/>
        </w:pBdr>
        <w:spacing w:after="0" w:line="240" w:lineRule="auto"/>
        <w:ind w:left="426" w:hanging="426"/>
        <w:rPr>
          <w:rFonts w:ascii="Arial" w:cs="Arial" w:eastAsia="Arial" w:hAnsi="Arial"/>
          <w:color w:val="434343"/>
          <w:sz w:val="20"/>
          <w:szCs w:val="20"/>
        </w:rPr>
      </w:pPr>
      <w:r w:rsidDel="00000000" w:rsidR="00000000" w:rsidRPr="00000000">
        <w:rPr>
          <w:rFonts w:ascii="Arial" w:cs="Arial" w:eastAsia="Arial" w:hAnsi="Arial"/>
          <w:b w:val="1"/>
          <w:color w:val="434343"/>
          <w:sz w:val="20"/>
          <w:szCs w:val="20"/>
          <w:rtl w:val="0"/>
        </w:rPr>
        <w:t xml:space="preserve">DESCRIPCIÓN DE LAS ACTIVIDADES REALIZADAS</w:t>
      </w:r>
    </w:p>
    <w:p w:rsidR="00000000" w:rsidDel="00000000" w:rsidP="00000000" w:rsidRDefault="00000000" w:rsidRPr="00000000" w14:paraId="00000039">
      <w:pPr>
        <w:spacing w:after="0" w:line="240" w:lineRule="auto"/>
        <w:jc w:val="both"/>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Gastos elegibles</w:t>
      </w:r>
    </w:p>
    <w:p w:rsidR="00000000" w:rsidDel="00000000" w:rsidP="00000000" w:rsidRDefault="00000000" w:rsidRPr="00000000" w14:paraId="0000003B">
      <w:pPr>
        <w:spacing w:after="0" w:line="240" w:lineRule="auto"/>
        <w:jc w:val="both"/>
        <w:rPr>
          <w:rFonts w:ascii="Arial" w:cs="Arial" w:eastAsia="Arial" w:hAnsi="Arial"/>
          <w:b w:val="1"/>
          <w:color w:val="4472c4"/>
          <w:sz w:val="20"/>
          <w:szCs w:val="20"/>
        </w:rPr>
      </w:pPr>
      <w:r w:rsidDel="00000000" w:rsidR="00000000" w:rsidRPr="00000000">
        <w:rPr>
          <w:rtl w:val="0"/>
        </w:rPr>
      </w:r>
    </w:p>
    <w:p w:rsidR="00000000" w:rsidDel="00000000" w:rsidP="00000000" w:rsidRDefault="00000000" w:rsidRPr="00000000" w14:paraId="0000003C">
      <w:pPr>
        <w:spacing w:after="0" w:line="240" w:lineRule="auto"/>
        <w:jc w:val="both"/>
        <w:rPr>
          <w:rFonts w:ascii="Arial" w:cs="Arial" w:eastAsia="Arial" w:hAnsi="Arial"/>
          <w:b w:val="1"/>
          <w:color w:val="4472c4"/>
          <w:sz w:val="20"/>
          <w:szCs w:val="20"/>
        </w:rPr>
      </w:pPr>
      <w:r w:rsidDel="00000000" w:rsidR="00000000" w:rsidRPr="00000000">
        <w:rPr>
          <w:rFonts w:ascii="Arial" w:cs="Arial" w:eastAsia="Arial" w:hAnsi="Arial"/>
          <w:sz w:val="20"/>
          <w:szCs w:val="20"/>
          <w:rtl w:val="0"/>
        </w:rPr>
        <w:t xml:space="preserve">Se seleccionó como gasto elegible el relacionado con el rubro de capacitación, a través de la reducción en un 10% anual los gastos asociados al rubro de capacitación de la entidad.</w:t>
      </w:r>
      <w:r w:rsidDel="00000000" w:rsidR="00000000" w:rsidRPr="00000000">
        <w:rPr>
          <w:rtl w:val="0"/>
        </w:rPr>
      </w:r>
    </w:p>
    <w:p w:rsidR="00000000" w:rsidDel="00000000" w:rsidP="00000000" w:rsidRDefault="00000000" w:rsidRPr="00000000" w14:paraId="0000003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Rubro</w:t>
      </w:r>
      <w:r w:rsidDel="00000000" w:rsidR="00000000" w:rsidRPr="00000000">
        <w:rPr>
          <w:rFonts w:ascii="Arial" w:cs="Arial" w:eastAsia="Arial" w:hAnsi="Arial"/>
          <w:sz w:val="20"/>
          <w:szCs w:val="20"/>
          <w:rtl w:val="0"/>
        </w:rPr>
        <w:t xml:space="preserve"> – Capacitación perteneciente al presupuesto de funcionamiento de la entidad</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la vigencia 2024 la entidad definió como meta: Reducir en un 10% anual los gastos asociados al rubro de capacitación de la entidad.</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4472c4"/>
          <w:sz w:val="20"/>
          <w:szCs w:val="20"/>
        </w:rPr>
      </w:pPr>
      <w:r w:rsidDel="00000000" w:rsidR="00000000" w:rsidRPr="00000000">
        <w:rPr>
          <w:rFonts w:ascii="Arial" w:cs="Arial" w:eastAsia="Arial" w:hAnsi="Arial"/>
          <w:sz w:val="20"/>
          <w:szCs w:val="20"/>
          <w:rtl w:val="0"/>
        </w:rPr>
        <w:t xml:space="preserve">Las acciones para el cumplimiento de la meta se basan en la generación de estrategias que permitan optimizar los recursos de capacitación a través de las distintas ofertas que tiene el Distrito y otras entidades, alianzas con otras entidades, procesos de capacitación interna gratuita, lo cual se tuvo en cuenta en la formulación del PIC de la vigencia 2024 y servirá como política de austeridad de la Entidad.</w:t>
      </w:r>
      <w:r w:rsidDel="00000000" w:rsidR="00000000" w:rsidRPr="00000000">
        <w:rPr>
          <w:rtl w:val="0"/>
        </w:rPr>
      </w:r>
    </w:p>
    <w:p w:rsidR="00000000" w:rsidDel="00000000" w:rsidP="00000000" w:rsidRDefault="00000000" w:rsidRPr="00000000" w14:paraId="00000043">
      <w:pPr>
        <w:spacing w:after="0" w:line="240" w:lineRule="auto"/>
        <w:jc w:val="center"/>
        <w:rPr>
          <w:rFonts w:ascii="Arial" w:cs="Arial" w:eastAsia="Arial" w:hAnsi="Arial"/>
          <w:b w:val="1"/>
          <w:color w:val="4472c4"/>
          <w:sz w:val="20"/>
          <w:szCs w:val="20"/>
        </w:rPr>
      </w:pPr>
      <w:r w:rsidDel="00000000" w:rsidR="00000000" w:rsidRPr="00000000">
        <w:rPr>
          <w:rtl w:val="0"/>
        </w:rPr>
      </w:r>
    </w:p>
    <w:p w:rsidR="00000000" w:rsidDel="00000000" w:rsidP="00000000" w:rsidRDefault="00000000" w:rsidRPr="00000000" w14:paraId="00000044">
      <w:pPr>
        <w:spacing w:after="0" w:line="240" w:lineRule="auto"/>
        <w:jc w:val="center"/>
        <w:rPr>
          <w:rFonts w:ascii="Arial" w:cs="Arial" w:eastAsia="Arial" w:hAnsi="Arial"/>
          <w:b w:val="1"/>
          <w:color w:val="4472c4"/>
          <w:sz w:val="20"/>
          <w:szCs w:val="20"/>
        </w:rPr>
      </w:pPr>
      <w:r w:rsidDel="00000000" w:rsidR="00000000" w:rsidRPr="00000000">
        <w:rPr>
          <w:rFonts w:ascii="Arial" w:cs="Arial" w:eastAsia="Arial" w:hAnsi="Arial"/>
          <w:b w:val="1"/>
          <w:color w:val="4472c4"/>
          <w:sz w:val="20"/>
          <w:szCs w:val="20"/>
          <w:rtl w:val="0"/>
        </w:rPr>
        <w:t xml:space="preserve">Tabla 1. Seguimiento de rubro y meta de Austeridad del Gasto Público – Gastos elegibles</w:t>
      </w:r>
    </w:p>
    <w:p w:rsidR="00000000" w:rsidDel="00000000" w:rsidP="00000000" w:rsidRDefault="00000000" w:rsidRPr="00000000" w14:paraId="00000045">
      <w:pPr>
        <w:spacing w:after="0" w:line="240" w:lineRule="auto"/>
        <w:jc w:val="center"/>
        <w:rPr>
          <w:rFonts w:ascii="Arial" w:cs="Arial" w:eastAsia="Arial" w:hAnsi="Arial"/>
          <w:b w:val="1"/>
          <w:color w:val="4472c4"/>
          <w:sz w:val="20"/>
          <w:szCs w:val="20"/>
        </w:rPr>
      </w:pPr>
      <w:r w:rsidDel="00000000" w:rsidR="00000000" w:rsidRPr="00000000">
        <w:rPr>
          <w:rtl w:val="0"/>
        </w:rPr>
      </w:r>
    </w:p>
    <w:tbl>
      <w:tblPr>
        <w:tblStyle w:val="Table1"/>
        <w:tblpPr w:leftFromText="180" w:rightFromText="180" w:topFromText="180" w:bottomFromText="180" w:vertAnchor="text" w:horzAnchor="text" w:tblpX="144.00000000000034" w:tblpY="0"/>
        <w:tblW w:w="9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5"/>
        <w:gridCol w:w="1155"/>
        <w:gridCol w:w="825"/>
        <w:gridCol w:w="1170"/>
        <w:gridCol w:w="975"/>
        <w:gridCol w:w="1215"/>
        <w:gridCol w:w="1140"/>
        <w:gridCol w:w="1290"/>
        <w:tblGridChange w:id="0">
          <w:tblGrid>
            <w:gridCol w:w="1305"/>
            <w:gridCol w:w="1155"/>
            <w:gridCol w:w="825"/>
            <w:gridCol w:w="1170"/>
            <w:gridCol w:w="975"/>
            <w:gridCol w:w="1215"/>
            <w:gridCol w:w="1140"/>
            <w:gridCol w:w="1290"/>
          </w:tblGrid>
        </w:tblGridChange>
      </w:tblGrid>
      <w:tr>
        <w:trPr>
          <w:cantSplit w:val="0"/>
          <w:trHeight w:val="577" w:hRule="atLeast"/>
          <w:tblHeader w:val="0"/>
        </w:trPr>
        <w:tc>
          <w:tcPr>
            <w:vMerge w:val="restart"/>
            <w:shd w:fill="b4c6e7" w:val="clear"/>
            <w:vAlign w:val="center"/>
          </w:tcPr>
          <w:p w:rsidR="00000000" w:rsidDel="00000000" w:rsidP="00000000" w:rsidRDefault="00000000" w:rsidRPr="00000000" w14:paraId="00000046">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Componente</w:t>
            </w:r>
          </w:p>
        </w:tc>
        <w:tc>
          <w:tcPr>
            <w:vMerge w:val="restart"/>
            <w:shd w:fill="b4c6e7" w:val="clear"/>
            <w:vAlign w:val="center"/>
          </w:tcPr>
          <w:p w:rsidR="00000000" w:rsidDel="00000000" w:rsidP="00000000" w:rsidRDefault="00000000" w:rsidRPr="00000000" w14:paraId="00000047">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Meta austeridad vigencia</w:t>
            </w:r>
          </w:p>
        </w:tc>
        <w:tc>
          <w:tcPr>
            <w:gridSpan w:val="2"/>
            <w:shd w:fill="b4c6e7" w:val="clear"/>
            <w:vAlign w:val="center"/>
          </w:tcPr>
          <w:p w:rsidR="00000000" w:rsidDel="00000000" w:rsidP="00000000" w:rsidRDefault="00000000" w:rsidRPr="00000000" w14:paraId="00000048">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2024</w:t>
            </w:r>
          </w:p>
        </w:tc>
        <w:tc>
          <w:tcPr>
            <w:gridSpan w:val="2"/>
            <w:shd w:fill="c6e0b4" w:val="clear"/>
            <w:vAlign w:val="center"/>
          </w:tcPr>
          <w:p w:rsidR="00000000" w:rsidDel="00000000" w:rsidP="00000000" w:rsidRDefault="00000000" w:rsidRPr="00000000" w14:paraId="0000004A">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2024</w:t>
            </w:r>
          </w:p>
        </w:tc>
        <w:tc>
          <w:tcPr>
            <w:vMerge w:val="restart"/>
            <w:shd w:fill="b4c6e7" w:val="clear"/>
            <w:vAlign w:val="center"/>
          </w:tcPr>
          <w:p w:rsidR="00000000" w:rsidDel="00000000" w:rsidP="00000000" w:rsidRDefault="00000000" w:rsidRPr="00000000" w14:paraId="0000004C">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Resultado indicador austeridad</w:t>
            </w:r>
          </w:p>
        </w:tc>
        <w:tc>
          <w:tcPr>
            <w:vMerge w:val="restart"/>
            <w:shd w:fill="b4c6e7" w:val="clear"/>
            <w:vAlign w:val="center"/>
          </w:tcPr>
          <w:p w:rsidR="00000000" w:rsidDel="00000000" w:rsidP="00000000" w:rsidRDefault="00000000" w:rsidRPr="00000000" w14:paraId="0000004D">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Resultado indicador de cumplimiento</w:t>
            </w:r>
          </w:p>
        </w:tc>
      </w:tr>
      <w:tr>
        <w:trPr>
          <w:cantSplit w:val="0"/>
          <w:trHeight w:val="499" w:hRule="atLeast"/>
          <w:tblHeader w:val="0"/>
        </w:trPr>
        <w:tc>
          <w:tcPr>
            <w:vMerge w:val="continue"/>
            <w:shd w:fill="b4c6e7" w:val="clear"/>
            <w:vAlign w:val="center"/>
          </w:tcPr>
          <w:p w:rsidR="00000000" w:rsidDel="00000000" w:rsidP="00000000" w:rsidRDefault="00000000" w:rsidRPr="00000000" w14:paraId="0000004E">
            <w:pPr>
              <w:widowControl w:val="0"/>
              <w:spacing w:after="0" w:line="276" w:lineRule="auto"/>
              <w:rPr>
                <w:rFonts w:ascii="Arial" w:cs="Arial" w:eastAsia="Arial" w:hAnsi="Arial"/>
                <w:b w:val="1"/>
                <w:sz w:val="20"/>
                <w:szCs w:val="20"/>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04F">
            <w:pPr>
              <w:widowControl w:val="0"/>
              <w:spacing w:after="0" w:line="276" w:lineRule="auto"/>
              <w:rPr>
                <w:rFonts w:ascii="Arial" w:cs="Arial" w:eastAsia="Arial" w:hAnsi="Arial"/>
                <w:b w:val="1"/>
                <w:sz w:val="20"/>
                <w:szCs w:val="20"/>
              </w:rPr>
            </w:pPr>
            <w:r w:rsidDel="00000000" w:rsidR="00000000" w:rsidRPr="00000000">
              <w:rPr>
                <w:rtl w:val="0"/>
              </w:rPr>
            </w:r>
          </w:p>
        </w:tc>
        <w:tc>
          <w:tcPr>
            <w:shd w:fill="b4c6e7" w:val="clear"/>
            <w:vAlign w:val="center"/>
          </w:tcPr>
          <w:p w:rsidR="00000000" w:rsidDel="00000000" w:rsidP="00000000" w:rsidRDefault="00000000" w:rsidRPr="00000000" w14:paraId="00000050">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shd w:fill="b4c6e7" w:val="clear"/>
            <w:vAlign w:val="center"/>
          </w:tcPr>
          <w:p w:rsidR="00000000" w:rsidDel="00000000" w:rsidP="00000000" w:rsidRDefault="00000000" w:rsidRPr="00000000" w14:paraId="00000051">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c>
          <w:tcPr>
            <w:shd w:fill="c6e0b4" w:val="clear"/>
            <w:vAlign w:val="center"/>
          </w:tcPr>
          <w:p w:rsidR="00000000" w:rsidDel="00000000" w:rsidP="00000000" w:rsidRDefault="00000000" w:rsidRPr="00000000" w14:paraId="00000052">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shd w:fill="c6e0b4" w:val="clear"/>
            <w:vAlign w:val="center"/>
          </w:tcPr>
          <w:p w:rsidR="00000000" w:rsidDel="00000000" w:rsidP="00000000" w:rsidRDefault="00000000" w:rsidRPr="00000000" w14:paraId="00000053">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c>
          <w:tcPr>
            <w:vMerge w:val="continue"/>
            <w:shd w:fill="b4c6e7" w:val="clear"/>
            <w:vAlign w:val="center"/>
          </w:tcPr>
          <w:p w:rsidR="00000000" w:rsidDel="00000000" w:rsidP="00000000" w:rsidRDefault="00000000" w:rsidRPr="00000000" w14:paraId="00000054">
            <w:pPr>
              <w:widowControl w:val="0"/>
              <w:spacing w:after="0" w:line="276" w:lineRule="auto"/>
              <w:rPr>
                <w:rFonts w:ascii="Arial" w:cs="Arial" w:eastAsia="Arial" w:hAnsi="Arial"/>
                <w:b w:val="1"/>
                <w:sz w:val="20"/>
                <w:szCs w:val="20"/>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055">
            <w:pPr>
              <w:widowControl w:val="0"/>
              <w:spacing w:after="0" w:line="276" w:lineRule="auto"/>
              <w:rPr>
                <w:rFonts w:ascii="Arial" w:cs="Arial" w:eastAsia="Arial" w:hAnsi="Arial"/>
                <w:b w:val="1"/>
                <w:sz w:val="20"/>
                <w:szCs w:val="20"/>
              </w:rPr>
            </w:pPr>
            <w:r w:rsidDel="00000000" w:rsidR="00000000" w:rsidRPr="00000000">
              <w:rPr>
                <w:rtl w:val="0"/>
              </w:rPr>
            </w:r>
          </w:p>
        </w:tc>
      </w:tr>
      <w:tr>
        <w:trPr>
          <w:cantSplit w:val="0"/>
          <w:trHeight w:val="319" w:hRule="atLeast"/>
          <w:tblHeader w:val="0"/>
        </w:trPr>
        <w:tc>
          <w:tcPr>
            <w:vAlign w:val="center"/>
          </w:tcPr>
          <w:p w:rsidR="00000000" w:rsidDel="00000000" w:rsidP="00000000" w:rsidRDefault="00000000" w:rsidRPr="00000000" w14:paraId="000000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Capacitación</w:t>
            </w:r>
          </w:p>
        </w:tc>
        <w:tc>
          <w:tcPr>
            <w:vAlign w:val="center"/>
          </w:tcPr>
          <w:p w:rsidR="00000000" w:rsidDel="00000000" w:rsidP="00000000" w:rsidRDefault="00000000" w:rsidRPr="00000000" w14:paraId="00000057">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8">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p w:rsidR="00000000" w:rsidDel="00000000" w:rsidP="00000000" w:rsidRDefault="00000000" w:rsidRPr="00000000" w14:paraId="00000059">
            <w:pPr>
              <w:spacing w:after="0" w:line="240" w:lineRule="auto"/>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5A">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w:t>
            </w:r>
          </w:p>
        </w:tc>
        <w:tc>
          <w:tcPr>
            <w:tcMar>
              <w:top w:w="100.0" w:type="dxa"/>
              <w:left w:w="100.0" w:type="dxa"/>
              <w:bottom w:w="100.0" w:type="dxa"/>
              <w:right w:w="100.0" w:type="dxa"/>
            </w:tcMar>
            <w:vAlign w:val="center"/>
          </w:tcPr>
          <w:p w:rsidR="00000000" w:rsidDel="00000000" w:rsidP="00000000" w:rsidRDefault="00000000" w:rsidRPr="00000000" w14:paraId="0000005B">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$43.655.000</w:t>
            </w:r>
          </w:p>
        </w:tc>
        <w:tc>
          <w:tcPr>
            <w:vAlign w:val="center"/>
          </w:tcPr>
          <w:p w:rsidR="00000000" w:rsidDel="00000000" w:rsidP="00000000" w:rsidRDefault="00000000" w:rsidRPr="00000000" w14:paraId="0000005C">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w:t>
            </w:r>
          </w:p>
        </w:tc>
        <w:tc>
          <w:tcPr>
            <w:tcMar>
              <w:top w:w="100.0" w:type="dxa"/>
              <w:left w:w="100.0" w:type="dxa"/>
              <w:bottom w:w="100.0" w:type="dxa"/>
              <w:right w:w="100.0" w:type="dxa"/>
            </w:tcMar>
            <w:vAlign w:val="center"/>
          </w:tcPr>
          <w:p w:rsidR="00000000" w:rsidDel="00000000" w:rsidP="00000000" w:rsidRDefault="00000000" w:rsidRPr="00000000" w14:paraId="0000005D">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$36.204.148</w:t>
            </w:r>
          </w:p>
        </w:tc>
        <w:tc>
          <w:tcPr>
            <w:vAlign w:val="center"/>
          </w:tcPr>
          <w:p w:rsidR="00000000" w:rsidDel="00000000" w:rsidP="00000000" w:rsidRDefault="00000000" w:rsidRPr="00000000" w14:paraId="0000005E">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17%</w:t>
            </w:r>
          </w:p>
        </w:tc>
        <w:tc>
          <w:tcPr>
            <w:vAlign w:val="center"/>
          </w:tcPr>
          <w:p w:rsidR="00000000" w:rsidDel="00000000" w:rsidP="00000000" w:rsidRDefault="00000000" w:rsidRPr="00000000" w14:paraId="0000005F">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100%</w:t>
            </w:r>
          </w:p>
        </w:tc>
      </w:tr>
    </w:tbl>
    <w:p w:rsidR="00000000" w:rsidDel="00000000" w:rsidP="00000000" w:rsidRDefault="00000000" w:rsidRPr="00000000" w14:paraId="00000060">
      <w:pPr>
        <w:spacing w:after="0" w:line="240"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Fuente: Seguimientos Plan Institucional de Capacitación 2024 </w:t>
      </w:r>
    </w:p>
    <w:p w:rsidR="00000000" w:rsidDel="00000000" w:rsidP="00000000" w:rsidRDefault="00000000" w:rsidRPr="00000000" w14:paraId="00000061">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6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presenta un ahorro del </w:t>
      </w:r>
      <w:r w:rsidDel="00000000" w:rsidR="00000000" w:rsidRPr="00000000">
        <w:rPr>
          <w:rFonts w:ascii="Arial" w:cs="Arial" w:eastAsia="Arial" w:hAnsi="Arial"/>
          <w:sz w:val="20"/>
          <w:szCs w:val="20"/>
          <w:rtl w:val="0"/>
        </w:rPr>
        <w:t xml:space="preserve">17% con relación al presupuesto establecido (El anterior cálculo corresponde al costo de los servicios efectivamente  prestados).</w:t>
      </w:r>
    </w:p>
    <w:p w:rsidR="00000000" w:rsidDel="00000000" w:rsidP="00000000" w:rsidRDefault="00000000" w:rsidRPr="00000000" w14:paraId="0000006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Como línea base se estableció que será el costo del presupuesto para el rubro de capacitación asignado en 2023 el cual correspondió a la suma de $ 43.655.000; de esta forma, y con la propuesta de la FUGA de dar cumplimiento a lo propuesto en la vigencia 2024  de acuerdo  con los  recursos disponibles,  se logró adelantar acciones del rubro de capacitación de la entidad por un valor de TREINTA Y SEIS MILLONES DOSCIENTOS CUATRO MIL CIENTO CUARENTA Y OCHO PESOS MONEDA CORRIENTE  ($36.204.148), generando  un menor costo en las actividades  propuestas en el PIC utilizando de manera eficiente  los  recursos  disponibles al momento de ejecución de las actividades sin la necesidad de afectar  el presupuesto de la vigencia. </w:t>
      </w:r>
    </w:p>
    <w:p w:rsidR="00000000" w:rsidDel="00000000" w:rsidP="00000000" w:rsidRDefault="00000000" w:rsidRPr="00000000" w14:paraId="0000006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unidad de medida relacionada es la cantidad de funcionarios activos a la fecha de ejecución del indicador, es decir 32 funcionarios, dada que la oferta y las capacitaciones están dirigidas al total de funcionarios de la planta de la FUGA.</w:t>
      </w:r>
    </w:p>
    <w:p w:rsidR="00000000" w:rsidDel="00000000" w:rsidP="00000000" w:rsidRDefault="00000000" w:rsidRPr="00000000" w14:paraId="0000006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entidad implementa estrategias que impactan en la ejecución del plan de capacitación en:</w:t>
      </w:r>
    </w:p>
    <w:p w:rsidR="00000000" w:rsidDel="00000000" w:rsidP="00000000" w:rsidRDefault="00000000" w:rsidRPr="00000000" w14:paraId="0000006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numPr>
          <w:ilvl w:val="0"/>
          <w:numId w:val="2"/>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Promociona y divulga a través de comunicaciones internas toda la oferta de capacitación que tiene el Distrito y otras entidades, con el fin de que los funcionarios participen activamente en dicha oferta.</w:t>
      </w:r>
    </w:p>
    <w:p w:rsidR="00000000" w:rsidDel="00000000" w:rsidP="00000000" w:rsidRDefault="00000000" w:rsidRPr="00000000" w14:paraId="0000006B">
      <w:pPr>
        <w:spacing w:after="0" w:line="24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numPr>
          <w:ilvl w:val="0"/>
          <w:numId w:val="2"/>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plan institucional de capacitación fue formulado teniendo en cuenta la oferta interinstitucional de capacitación que ofrece el Distrito y demás entidades, conforme con sus competencias. </w:t>
      </w:r>
    </w:p>
    <w:p w:rsidR="00000000" w:rsidDel="00000000" w:rsidP="00000000" w:rsidRDefault="00000000" w:rsidRPr="00000000" w14:paraId="0000006D">
      <w:pPr>
        <w:spacing w:after="0" w:line="240" w:lineRule="auto"/>
        <w:jc w:val="both"/>
        <w:rPr>
          <w:rFonts w:ascii="Arial" w:cs="Arial" w:eastAsia="Arial" w:hAnsi="Arial"/>
          <w:color w:val="4472c4"/>
          <w:sz w:val="20"/>
          <w:szCs w:val="20"/>
        </w:rPr>
      </w:pPr>
      <w:r w:rsidDel="00000000" w:rsidR="00000000" w:rsidRPr="00000000">
        <w:rPr>
          <w:rtl w:val="0"/>
        </w:rPr>
      </w:r>
    </w:p>
    <w:p w:rsidR="00000000" w:rsidDel="00000000" w:rsidP="00000000" w:rsidRDefault="00000000" w:rsidRPr="00000000" w14:paraId="0000006E">
      <w:pPr>
        <w:spacing w:after="0" w:line="240" w:lineRule="auto"/>
        <w:jc w:val="both"/>
        <w:rPr>
          <w:rFonts w:ascii="Arial" w:cs="Arial" w:eastAsia="Arial" w:hAnsi="Arial"/>
          <w:color w:val="434343"/>
          <w:sz w:val="20"/>
          <w:szCs w:val="20"/>
        </w:rPr>
      </w:pPr>
      <w:r w:rsidDel="00000000" w:rsidR="00000000" w:rsidRPr="00000000">
        <w:rPr>
          <w:rFonts w:ascii="Arial" w:cs="Arial" w:eastAsia="Arial" w:hAnsi="Arial"/>
          <w:sz w:val="20"/>
          <w:szCs w:val="20"/>
          <w:rtl w:val="0"/>
        </w:rPr>
        <w:t xml:space="preserve">Es importante resaltar que  con la implementación de la medida de austeridad, la Entidad dio cumplimiento a cabalidad con el Plan institucional de capacitación y los resultados del ahorro se ven reflejados en la siguiente gráfica</w:t>
      </w:r>
      <w:r w:rsidDel="00000000" w:rsidR="00000000" w:rsidRPr="00000000">
        <w:rPr>
          <w:rFonts w:ascii="Arial" w:cs="Arial" w:eastAsia="Arial" w:hAnsi="Arial"/>
          <w:color w:val="434343"/>
          <w:sz w:val="20"/>
          <w:szCs w:val="20"/>
          <w:rtl w:val="0"/>
        </w:rPr>
        <w:t xml:space="preserve">: </w:t>
      </w:r>
    </w:p>
    <w:p w:rsidR="00000000" w:rsidDel="00000000" w:rsidP="00000000" w:rsidRDefault="00000000" w:rsidRPr="00000000" w14:paraId="0000006F">
      <w:pPr>
        <w:spacing w:after="0" w:line="240" w:lineRule="auto"/>
        <w:jc w:val="both"/>
        <w:rPr>
          <w:rFonts w:ascii="Arial" w:cs="Arial" w:eastAsia="Arial" w:hAnsi="Arial"/>
          <w:color w:val="4472c4"/>
          <w:sz w:val="20"/>
          <w:szCs w:val="20"/>
        </w:rPr>
      </w:pPr>
      <w:r w:rsidDel="00000000" w:rsidR="00000000" w:rsidRPr="00000000">
        <w:rPr>
          <w:rtl w:val="0"/>
        </w:rPr>
      </w:r>
    </w:p>
    <w:p w:rsidR="00000000" w:rsidDel="00000000" w:rsidP="00000000" w:rsidRDefault="00000000" w:rsidRPr="00000000" w14:paraId="00000070">
      <w:pPr>
        <w:spacing w:after="0" w:line="240" w:lineRule="auto"/>
        <w:jc w:val="center"/>
        <w:rPr>
          <w:rFonts w:ascii="Arial" w:cs="Arial" w:eastAsia="Arial" w:hAnsi="Arial"/>
          <w:color w:val="4472c4"/>
          <w:sz w:val="20"/>
          <w:szCs w:val="20"/>
        </w:rPr>
      </w:pPr>
      <w:r w:rsidDel="00000000" w:rsidR="00000000" w:rsidRPr="00000000">
        <w:rPr>
          <w:rtl w:val="0"/>
        </w:rPr>
      </w:r>
    </w:p>
    <w:p w:rsidR="00000000" w:rsidDel="00000000" w:rsidP="00000000" w:rsidRDefault="00000000" w:rsidRPr="00000000" w14:paraId="00000071">
      <w:pPr>
        <w:spacing w:after="0" w:line="240" w:lineRule="auto"/>
        <w:jc w:val="center"/>
        <w:rPr>
          <w:rFonts w:ascii="Arial" w:cs="Arial" w:eastAsia="Arial" w:hAnsi="Arial"/>
          <w:color w:val="4472c4"/>
          <w:sz w:val="20"/>
          <w:szCs w:val="20"/>
        </w:rPr>
      </w:pPr>
      <w:r w:rsidDel="00000000" w:rsidR="00000000" w:rsidRPr="00000000">
        <w:rPr>
          <w:rFonts w:ascii="Arial" w:cs="Arial" w:eastAsia="Arial" w:hAnsi="Arial"/>
          <w:color w:val="4472c4"/>
          <w:sz w:val="20"/>
          <w:szCs w:val="20"/>
        </w:rPr>
        <w:drawing>
          <wp:inline distB="114300" distT="114300" distL="114300" distR="114300">
            <wp:extent cx="4843463" cy="2799845"/>
            <wp:effectExtent b="0" l="0" r="0" t="0"/>
            <wp:docPr id="6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843463" cy="2799845"/>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spacing w:after="0" w:line="240" w:lineRule="auto"/>
        <w:jc w:val="both"/>
        <w:rPr>
          <w:rFonts w:ascii="Arial" w:cs="Arial" w:eastAsia="Arial" w:hAnsi="Arial"/>
          <w:color w:val="4472c4"/>
          <w:sz w:val="20"/>
          <w:szCs w:val="20"/>
        </w:rPr>
      </w:pPr>
      <w:r w:rsidDel="00000000" w:rsidR="00000000" w:rsidRPr="00000000">
        <w:rPr>
          <w:rtl w:val="0"/>
        </w:rPr>
      </w:r>
    </w:p>
    <w:p w:rsidR="00000000" w:rsidDel="00000000" w:rsidP="00000000" w:rsidRDefault="00000000" w:rsidRPr="00000000" w14:paraId="00000073">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G</w:t>
      </w:r>
      <w:r w:rsidDel="00000000" w:rsidR="00000000" w:rsidRPr="00000000">
        <w:rPr>
          <w:rFonts w:ascii="Arial" w:cs="Arial" w:eastAsia="Arial" w:hAnsi="Arial"/>
          <w:b w:val="1"/>
          <w:sz w:val="20"/>
          <w:szCs w:val="20"/>
          <w:rtl w:val="0"/>
        </w:rPr>
        <w:t xml:space="preserve">ASTO NO ELEGIBLES</w:t>
      </w:r>
    </w:p>
    <w:p w:rsidR="00000000" w:rsidDel="00000000" w:rsidP="00000000" w:rsidRDefault="00000000" w:rsidRPr="00000000" w14:paraId="0000007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Seguimiento de rubro y meta de Austeridad del Gasto Público – Gastos no elegibles</w:t>
      </w:r>
    </w:p>
    <w:p w:rsidR="00000000" w:rsidDel="00000000" w:rsidP="00000000" w:rsidRDefault="00000000" w:rsidRPr="00000000" w14:paraId="00000076">
      <w:pPr>
        <w:spacing w:after="0" w:line="240" w:lineRule="auto"/>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numPr>
          <w:ilvl w:val="0"/>
          <w:numId w:val="1"/>
        </w:numPr>
        <w:spacing w:after="0" w:line="240" w:lineRule="auto"/>
        <w:ind w:left="720" w:hanging="360"/>
        <w:jc w:val="both"/>
        <w:rPr>
          <w:rFonts w:ascii="Arial" w:cs="Arial" w:eastAsia="Arial" w:hAnsi="Arial"/>
          <w:sz w:val="20"/>
          <w:szCs w:val="20"/>
          <w:highlight w:val="white"/>
        </w:rPr>
      </w:pPr>
      <w:r w:rsidDel="00000000" w:rsidR="00000000" w:rsidRPr="00000000">
        <w:rPr>
          <w:rFonts w:ascii="Arial" w:cs="Arial" w:eastAsia="Arial" w:hAnsi="Arial"/>
          <w:b w:val="1"/>
          <w:sz w:val="20"/>
          <w:szCs w:val="20"/>
          <w:highlight w:val="white"/>
          <w:rtl w:val="0"/>
        </w:rPr>
        <w:t xml:space="preserve">Horas extras, dominicales y festivos: </w:t>
      </w:r>
      <w:r w:rsidDel="00000000" w:rsidR="00000000" w:rsidRPr="00000000">
        <w:rPr>
          <w:rtl w:val="0"/>
        </w:rPr>
      </w:r>
    </w:p>
    <w:p w:rsidR="00000000" w:rsidDel="00000000" w:rsidP="00000000" w:rsidRDefault="00000000" w:rsidRPr="00000000" w14:paraId="00000079">
      <w:pPr>
        <w:spacing w:after="0" w:line="240" w:lineRule="auto"/>
        <w:ind w:left="720" w:firstLine="0"/>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7A">
      <w:pPr>
        <w:spacing w:after="0" w:line="240" w:lineRule="auto"/>
        <w:ind w:left="720" w:firstLine="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El rubro relacionado no fue objeto de ser gasto elegible dentro de la FUGA, sin embargo, el pago de horas extras no supera los topes establecidos y corresponde al cubrimiento de actividades de índole misional y su liquidación y el pago se efectuó teniendo en cuenta la normatividad aplicable.</w:t>
      </w:r>
    </w:p>
    <w:p w:rsidR="00000000" w:rsidDel="00000000" w:rsidP="00000000" w:rsidRDefault="00000000" w:rsidRPr="00000000" w14:paraId="0000007B">
      <w:pPr>
        <w:spacing w:after="0" w:line="240" w:lineRule="auto"/>
        <w:ind w:left="720" w:firstLine="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7C">
      <w:pPr>
        <w:spacing w:after="0" w:line="240" w:lineRule="auto"/>
        <w:ind w:left="720" w:firstLine="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7D">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color w:val="4472c4"/>
          <w:sz w:val="20"/>
          <w:szCs w:val="20"/>
          <w:rtl w:val="0"/>
        </w:rPr>
        <w:t xml:space="preserve">Tabla 2. Seguimiento de rubro y meta de Austeridad del Gasto Público – Gastos no elegibles- horas extras </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3479" w:hanging="360"/>
        <w:rPr>
          <w:rFonts w:ascii="Arial" w:cs="Arial" w:eastAsia="Arial" w:hAnsi="Arial"/>
          <w:b w:val="1"/>
          <w:sz w:val="20"/>
          <w:szCs w:val="20"/>
        </w:rPr>
      </w:pPr>
      <w:r w:rsidDel="00000000" w:rsidR="00000000" w:rsidRPr="00000000">
        <w:rPr>
          <w:rtl w:val="0"/>
        </w:rPr>
      </w:r>
    </w:p>
    <w:tbl>
      <w:tblPr>
        <w:tblStyle w:val="Table2"/>
        <w:tblW w:w="81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5"/>
        <w:gridCol w:w="1110"/>
        <w:gridCol w:w="1095"/>
        <w:gridCol w:w="1065"/>
        <w:gridCol w:w="1095"/>
        <w:gridCol w:w="1650"/>
        <w:tblGridChange w:id="0">
          <w:tblGrid>
            <w:gridCol w:w="2145"/>
            <w:gridCol w:w="1110"/>
            <w:gridCol w:w="1095"/>
            <w:gridCol w:w="1065"/>
            <w:gridCol w:w="1095"/>
            <w:gridCol w:w="1650"/>
          </w:tblGrid>
        </w:tblGridChange>
      </w:tblGrid>
      <w:tr>
        <w:trPr>
          <w:cantSplit w:val="0"/>
          <w:trHeight w:val="577" w:hRule="atLeast"/>
          <w:tblHeader w:val="0"/>
        </w:trPr>
        <w:tc>
          <w:tcPr>
            <w:vMerge w:val="restart"/>
            <w:shd w:fill="b4c6e7" w:val="clear"/>
            <w:vAlign w:val="center"/>
          </w:tcPr>
          <w:p w:rsidR="00000000" w:rsidDel="00000000" w:rsidP="00000000" w:rsidRDefault="00000000" w:rsidRPr="00000000" w14:paraId="0000007F">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Rubro</w:t>
            </w:r>
          </w:p>
        </w:tc>
        <w:tc>
          <w:tcPr>
            <w:vMerge w:val="restart"/>
            <w:shd w:fill="b4c6e7" w:val="clear"/>
            <w:vAlign w:val="center"/>
          </w:tcPr>
          <w:p w:rsidR="00000000" w:rsidDel="00000000" w:rsidP="00000000" w:rsidRDefault="00000000" w:rsidRPr="00000000" w14:paraId="00000080">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Unidad de medida</w:t>
            </w:r>
          </w:p>
        </w:tc>
        <w:tc>
          <w:tcPr>
            <w:gridSpan w:val="2"/>
            <w:shd w:fill="b4c6e7" w:val="clear"/>
            <w:vAlign w:val="center"/>
          </w:tcPr>
          <w:p w:rsidR="00000000" w:rsidDel="00000000" w:rsidP="00000000" w:rsidRDefault="00000000" w:rsidRPr="00000000" w14:paraId="00000081">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2023</w:t>
            </w:r>
          </w:p>
        </w:tc>
        <w:tc>
          <w:tcPr>
            <w:gridSpan w:val="2"/>
            <w:shd w:fill="c6e0b4" w:val="clear"/>
            <w:vAlign w:val="center"/>
          </w:tcPr>
          <w:p w:rsidR="00000000" w:rsidDel="00000000" w:rsidP="00000000" w:rsidRDefault="00000000" w:rsidRPr="00000000" w14:paraId="00000083">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2024</w:t>
            </w:r>
          </w:p>
        </w:tc>
      </w:tr>
      <w:tr>
        <w:trPr>
          <w:cantSplit w:val="0"/>
          <w:trHeight w:val="499" w:hRule="atLeast"/>
          <w:tblHeader w:val="0"/>
        </w:trPr>
        <w:tc>
          <w:tcPr>
            <w:vMerge w:val="continue"/>
            <w:shd w:fill="b4c6e7"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b4c6e7" w:val="clear"/>
            <w:vAlign w:val="center"/>
          </w:tcPr>
          <w:p w:rsidR="00000000" w:rsidDel="00000000" w:rsidP="00000000" w:rsidRDefault="00000000" w:rsidRPr="00000000" w14:paraId="00000087">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shd w:fill="b4c6e7" w:val="clear"/>
            <w:vAlign w:val="center"/>
          </w:tcPr>
          <w:p w:rsidR="00000000" w:rsidDel="00000000" w:rsidP="00000000" w:rsidRDefault="00000000" w:rsidRPr="00000000" w14:paraId="00000088">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c>
          <w:tcPr>
            <w:shd w:fill="c6e0b4" w:val="clear"/>
            <w:vAlign w:val="center"/>
          </w:tcPr>
          <w:p w:rsidR="00000000" w:rsidDel="00000000" w:rsidP="00000000" w:rsidRDefault="00000000" w:rsidRPr="00000000" w14:paraId="00000089">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shd w:fill="c6e0b4" w:val="clear"/>
            <w:vAlign w:val="center"/>
          </w:tcPr>
          <w:p w:rsidR="00000000" w:rsidDel="00000000" w:rsidP="00000000" w:rsidRDefault="00000000" w:rsidRPr="00000000" w14:paraId="0000008A">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r>
      <w:tr>
        <w:trPr>
          <w:cantSplit w:val="0"/>
          <w:trHeight w:val="425" w:hRule="atLeast"/>
          <w:tblHeader w:val="0"/>
        </w:trPr>
        <w:tc>
          <w:tcPr>
            <w:shd w:fill="auto" w:val="clear"/>
            <w:vAlign w:val="center"/>
          </w:tcPr>
          <w:p w:rsidR="00000000" w:rsidDel="00000000" w:rsidP="00000000" w:rsidRDefault="00000000" w:rsidRPr="00000000" w14:paraId="0000008B">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highlight w:val="white"/>
                <w:rtl w:val="0"/>
              </w:rPr>
              <w:t xml:space="preserve">Horas extras, dominicales y festivos</w:t>
            </w:r>
            <w:r w:rsidDel="00000000" w:rsidR="00000000" w:rsidRPr="00000000">
              <w:rPr>
                <w:rtl w:val="0"/>
              </w:rPr>
            </w:r>
          </w:p>
        </w:tc>
        <w:tc>
          <w:tcPr>
            <w:shd w:fill="auto" w:val="clear"/>
            <w:vAlign w:val="center"/>
          </w:tcPr>
          <w:p w:rsidR="00000000" w:rsidDel="00000000" w:rsidP="00000000" w:rsidRDefault="00000000" w:rsidRPr="00000000" w14:paraId="0000008C">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highlight w:val="white"/>
                <w:rtl w:val="0"/>
              </w:rPr>
              <w:t xml:space="preserve">Número de horas liquidadas y pagadas.</w:t>
            </w:r>
            <w:r w:rsidDel="00000000" w:rsidR="00000000" w:rsidRPr="00000000">
              <w:rPr>
                <w:rtl w:val="0"/>
              </w:rPr>
            </w:r>
          </w:p>
        </w:tc>
        <w:tc>
          <w:tcPr>
            <w:shd w:fill="auto" w:val="clear"/>
            <w:vAlign w:val="center"/>
          </w:tcPr>
          <w:p w:rsidR="00000000" w:rsidDel="00000000" w:rsidP="00000000" w:rsidRDefault="00000000" w:rsidRPr="00000000" w14:paraId="0000008D">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328</w:t>
            </w:r>
          </w:p>
        </w:tc>
        <w:tc>
          <w:tcPr>
            <w:shd w:fill="auto" w:val="clear"/>
            <w:vAlign w:val="center"/>
          </w:tcPr>
          <w:p w:rsidR="00000000" w:rsidDel="00000000" w:rsidP="00000000" w:rsidRDefault="00000000" w:rsidRPr="00000000" w14:paraId="0000008E">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$5.574.924</w:t>
            </w:r>
          </w:p>
        </w:tc>
        <w:tc>
          <w:tcPr>
            <w:shd w:fill="auto" w:val="clear"/>
            <w:vAlign w:val="center"/>
          </w:tcPr>
          <w:p w:rsidR="00000000" w:rsidDel="00000000" w:rsidP="00000000" w:rsidRDefault="00000000" w:rsidRPr="00000000" w14:paraId="0000008F">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621</w:t>
            </w:r>
          </w:p>
        </w:tc>
        <w:tc>
          <w:tcPr>
            <w:shd w:fill="auto" w:val="clear"/>
            <w:vAlign w:val="center"/>
          </w:tcPr>
          <w:p w:rsidR="00000000" w:rsidDel="00000000" w:rsidP="00000000" w:rsidRDefault="00000000" w:rsidRPr="00000000" w14:paraId="00000090">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highlight w:val="white"/>
                <w:rtl w:val="0"/>
              </w:rPr>
              <w:t xml:space="preserve">$10.155.110</w:t>
            </w:r>
            <w:r w:rsidDel="00000000" w:rsidR="00000000" w:rsidRPr="00000000">
              <w:rPr>
                <w:rtl w:val="0"/>
              </w:rPr>
            </w:r>
          </w:p>
        </w:tc>
      </w:tr>
      <w:tr>
        <w:trPr>
          <w:cantSplit w:val="0"/>
          <w:trHeight w:val="327" w:hRule="atLeast"/>
          <w:tblHeader w:val="0"/>
        </w:trPr>
        <w:tc>
          <w:tcPr>
            <w:shd w:fill="auto" w:val="clear"/>
            <w:vAlign w:val="center"/>
          </w:tcPr>
          <w:p w:rsidR="00000000" w:rsidDel="00000000" w:rsidP="00000000" w:rsidRDefault="00000000" w:rsidRPr="00000000" w14:paraId="00000091">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highlight w:val="white"/>
                <w:rtl w:val="0"/>
              </w:rPr>
              <w:t xml:space="preserve">Actividades definidas en los planes y programas de bienestar e incentivos para servidores públicos o actos protocolarios que deben atenderse misionalmente.</w:t>
            </w:r>
            <w:r w:rsidDel="00000000" w:rsidR="00000000" w:rsidRPr="00000000">
              <w:rPr>
                <w:rtl w:val="0"/>
              </w:rPr>
            </w:r>
          </w:p>
        </w:tc>
        <w:tc>
          <w:tcPr>
            <w:shd w:fill="auto" w:val="clear"/>
            <w:vAlign w:val="center"/>
          </w:tcPr>
          <w:p w:rsidR="00000000" w:rsidDel="00000000" w:rsidP="00000000" w:rsidRDefault="00000000" w:rsidRPr="00000000" w14:paraId="00000092">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highlight w:val="white"/>
                <w:rtl w:val="0"/>
              </w:rPr>
              <w:t xml:space="preserve">Cantidad de actividades y/o eventos realizados.</w:t>
            </w:r>
            <w:r w:rsidDel="00000000" w:rsidR="00000000" w:rsidRPr="00000000">
              <w:rPr>
                <w:rtl w:val="0"/>
              </w:rPr>
            </w:r>
          </w:p>
        </w:tc>
        <w:tc>
          <w:tcPr>
            <w:shd w:fill="auto" w:val="clear"/>
            <w:vAlign w:val="center"/>
          </w:tcPr>
          <w:p w:rsidR="00000000" w:rsidDel="00000000" w:rsidP="00000000" w:rsidRDefault="00000000" w:rsidRPr="00000000" w14:paraId="00000093">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w:t>
            </w:r>
          </w:p>
        </w:tc>
        <w:tc>
          <w:tcPr>
            <w:shd w:fill="auto" w:val="clear"/>
            <w:vAlign w:val="center"/>
          </w:tcPr>
          <w:p w:rsidR="00000000" w:rsidDel="00000000" w:rsidP="00000000" w:rsidRDefault="00000000" w:rsidRPr="00000000" w14:paraId="00000094">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w:t>
            </w:r>
          </w:p>
        </w:tc>
        <w:tc>
          <w:tcPr>
            <w:shd w:fill="auto" w:val="clear"/>
            <w:vAlign w:val="center"/>
          </w:tcPr>
          <w:p w:rsidR="00000000" w:rsidDel="00000000" w:rsidP="00000000" w:rsidRDefault="00000000" w:rsidRPr="00000000" w14:paraId="00000095">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w:t>
            </w:r>
          </w:p>
        </w:tc>
        <w:tc>
          <w:tcPr>
            <w:shd w:fill="auto" w:val="clear"/>
            <w:vAlign w:val="center"/>
          </w:tcPr>
          <w:p w:rsidR="00000000" w:rsidDel="00000000" w:rsidP="00000000" w:rsidRDefault="00000000" w:rsidRPr="00000000" w14:paraId="00000096">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highlight w:val="white"/>
                <w:rtl w:val="0"/>
              </w:rPr>
              <w:t xml:space="preserve">$0</w:t>
            </w:r>
            <w:r w:rsidDel="00000000" w:rsidR="00000000" w:rsidRPr="00000000">
              <w:rPr>
                <w:rtl w:val="0"/>
              </w:rPr>
            </w:r>
          </w:p>
        </w:tc>
      </w:tr>
    </w:tbl>
    <w:p w:rsidR="00000000" w:rsidDel="00000000" w:rsidP="00000000" w:rsidRDefault="00000000" w:rsidRPr="00000000" w14:paraId="00000097">
      <w:pPr>
        <w:spacing w:after="0" w:line="240" w:lineRule="auto"/>
        <w:jc w:val="both"/>
        <w:rPr>
          <w:rFonts w:ascii="Arial" w:cs="Arial" w:eastAsia="Arial" w:hAnsi="Arial"/>
          <w:b w:val="1"/>
          <w:color w:val="2f5496"/>
          <w:sz w:val="20"/>
          <w:szCs w:val="20"/>
        </w:rPr>
      </w:pPr>
      <w:r w:rsidDel="00000000" w:rsidR="00000000" w:rsidRPr="00000000">
        <w:rPr>
          <w:rtl w:val="0"/>
        </w:rPr>
      </w:r>
    </w:p>
    <w:p w:rsidR="00000000" w:rsidDel="00000000" w:rsidP="00000000" w:rsidRDefault="00000000" w:rsidRPr="00000000" w14:paraId="00000098">
      <w:pPr>
        <w:spacing w:after="0" w:line="240" w:lineRule="auto"/>
        <w:ind w:left="708.661417322834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Como resultado de las estrategias misionales que buscan  enriquecer la vida cultural del centro de la capital, lo que llevó a que la FUGA este año ampliará su oferta artística en el escenario El Muelle y otros espacios alternos, albergando así una mayor cantidad de eventos, como talleres, franjas culturales y artísticas, conversatorios, conciertos y conferencias, lo que ha contribuido significativamente al uso más intensivo de las instalaciones y una mayor colaboración por parte de sus funcionarios.</w:t>
      </w:r>
    </w:p>
    <w:p w:rsidR="00000000" w:rsidDel="00000000" w:rsidP="00000000" w:rsidRDefault="00000000" w:rsidRPr="00000000" w14:paraId="00000099">
      <w:pPr>
        <w:spacing w:after="0" w:line="240" w:lineRule="auto"/>
        <w:jc w:val="both"/>
        <w:rPr>
          <w:rFonts w:ascii="Arial" w:cs="Arial" w:eastAsia="Arial" w:hAnsi="Arial"/>
          <w:b w:val="1"/>
          <w:color w:val="2f5496"/>
          <w:sz w:val="20"/>
          <w:szCs w:val="20"/>
        </w:rPr>
      </w:pPr>
      <w:r w:rsidDel="00000000" w:rsidR="00000000" w:rsidRPr="00000000">
        <w:rPr>
          <w:rtl w:val="0"/>
        </w:rPr>
      </w:r>
    </w:p>
    <w:p w:rsidR="00000000" w:rsidDel="00000000" w:rsidP="00000000" w:rsidRDefault="00000000" w:rsidRPr="00000000" w14:paraId="0000009A">
      <w:pPr>
        <w:numPr>
          <w:ilvl w:val="0"/>
          <w:numId w:val="1"/>
        </w:numPr>
        <w:spacing w:after="0" w:line="240" w:lineRule="auto"/>
        <w:ind w:left="720"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 Compensación por vacaciones. </w:t>
      </w:r>
    </w:p>
    <w:p w:rsidR="00000000" w:rsidDel="00000000" w:rsidP="00000000" w:rsidRDefault="00000000" w:rsidRPr="00000000" w14:paraId="0000009B">
      <w:pPr>
        <w:spacing w:after="0" w:line="240" w:lineRule="auto"/>
        <w:ind w:left="720" w:firstLine="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9C">
      <w:pPr>
        <w:spacing w:after="0" w:line="240" w:lineRule="auto"/>
        <w:ind w:left="720" w:firstLine="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El rubro relacionado no fue objeto de ser gasto elegible dentro de la FUGA, sin embargo, la FUGA, no efectuó pagos relacionados al concepto.</w:t>
      </w:r>
    </w:p>
    <w:p w:rsidR="00000000" w:rsidDel="00000000" w:rsidP="00000000" w:rsidRDefault="00000000" w:rsidRPr="00000000" w14:paraId="0000009D">
      <w:pPr>
        <w:spacing w:after="0" w:line="240" w:lineRule="auto"/>
        <w:ind w:left="720" w:firstLine="0"/>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9E">
      <w:pPr>
        <w:spacing w:after="0" w:line="240" w:lineRule="auto"/>
        <w:ind w:left="720" w:firstLine="0"/>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9F">
      <w:pPr>
        <w:numPr>
          <w:ilvl w:val="0"/>
          <w:numId w:val="1"/>
        </w:numPr>
        <w:spacing w:after="0" w:line="240" w:lineRule="auto"/>
        <w:ind w:left="720" w:hanging="360"/>
        <w:jc w:val="both"/>
        <w:rPr>
          <w:rFonts w:ascii="Arial" w:cs="Arial" w:eastAsia="Arial" w:hAnsi="Arial"/>
          <w:b w:val="1"/>
          <w:sz w:val="20"/>
          <w:szCs w:val="20"/>
          <w:highlight w:val="white"/>
        </w:rPr>
      </w:pPr>
      <w:r w:rsidDel="00000000" w:rsidR="00000000" w:rsidRPr="00000000">
        <w:rPr>
          <w:rFonts w:ascii="Arial" w:cs="Arial" w:eastAsia="Arial" w:hAnsi="Arial"/>
          <w:b w:val="1"/>
          <w:color w:val="333333"/>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Modificación de plantas de personal y estructuras administrativas.</w:t>
      </w:r>
    </w:p>
    <w:p w:rsidR="00000000" w:rsidDel="00000000" w:rsidP="00000000" w:rsidRDefault="00000000" w:rsidRPr="00000000" w14:paraId="000000A0">
      <w:pPr>
        <w:spacing w:after="0" w:line="240" w:lineRule="auto"/>
        <w:ind w:left="720" w:firstLine="0"/>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A1">
      <w:pPr>
        <w:spacing w:after="0" w:line="240" w:lineRule="auto"/>
        <w:ind w:left="720" w:firstLine="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El rubro relacionado no fue objeto de ser gasto elegible dentro de la FUGA, sin embargo, la FUGA, no efectuó pagos relacionados al concepto.</w:t>
      </w:r>
    </w:p>
    <w:p w:rsidR="00000000" w:rsidDel="00000000" w:rsidP="00000000" w:rsidRDefault="00000000" w:rsidRPr="00000000" w14:paraId="000000A2">
      <w:pPr>
        <w:spacing w:after="0" w:line="240" w:lineRule="auto"/>
        <w:ind w:left="720" w:firstLine="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A3">
      <w:pPr>
        <w:spacing w:after="0" w:line="240" w:lineRule="auto"/>
        <w:ind w:left="720" w:firstLine="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A4">
      <w:pPr>
        <w:spacing w:after="0" w:line="240" w:lineRule="auto"/>
        <w:ind w:left="720" w:firstLine="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A5">
      <w:pPr>
        <w:spacing w:after="0" w:line="240" w:lineRule="auto"/>
        <w:ind w:left="720" w:firstLine="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A6">
      <w:pPr>
        <w:spacing w:after="0" w:line="240" w:lineRule="auto"/>
        <w:ind w:left="720" w:firstLine="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A7">
      <w:pPr>
        <w:numPr>
          <w:ilvl w:val="0"/>
          <w:numId w:val="1"/>
        </w:numPr>
        <w:spacing w:after="0" w:line="240" w:lineRule="auto"/>
        <w:ind w:left="720"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Concursos públicos abiertos de méritos</w:t>
      </w:r>
    </w:p>
    <w:p w:rsidR="00000000" w:rsidDel="00000000" w:rsidP="00000000" w:rsidRDefault="00000000" w:rsidRPr="00000000" w14:paraId="000000A8">
      <w:pPr>
        <w:spacing w:after="0" w:line="240" w:lineRule="auto"/>
        <w:jc w:val="both"/>
        <w:rPr>
          <w:rFonts w:ascii="Arial" w:cs="Arial" w:eastAsia="Arial" w:hAnsi="Arial"/>
          <w:b w:val="1"/>
          <w:color w:val="333333"/>
          <w:sz w:val="20"/>
          <w:szCs w:val="20"/>
          <w:highlight w:val="white"/>
        </w:rPr>
      </w:pPr>
      <w:r w:rsidDel="00000000" w:rsidR="00000000" w:rsidRPr="00000000">
        <w:rPr>
          <w:rtl w:val="0"/>
        </w:rPr>
      </w:r>
    </w:p>
    <w:p w:rsidR="00000000" w:rsidDel="00000000" w:rsidP="00000000" w:rsidRDefault="00000000" w:rsidRPr="00000000" w14:paraId="000000A9">
      <w:pPr>
        <w:spacing w:after="0" w:line="240" w:lineRule="auto"/>
        <w:ind w:left="720" w:firstLine="0"/>
        <w:jc w:val="both"/>
        <w:rPr>
          <w:rFonts w:ascii="Arial" w:cs="Arial" w:eastAsia="Arial" w:hAnsi="Arial"/>
          <w:b w:val="1"/>
          <w:color w:val="333333"/>
          <w:sz w:val="20"/>
          <w:szCs w:val="20"/>
        </w:rPr>
      </w:pPr>
      <w:r w:rsidDel="00000000" w:rsidR="00000000" w:rsidRPr="00000000">
        <w:rPr>
          <w:rFonts w:ascii="Arial" w:cs="Arial" w:eastAsia="Arial" w:hAnsi="Arial"/>
          <w:color w:val="333333"/>
          <w:sz w:val="20"/>
          <w:szCs w:val="20"/>
          <w:highlight w:val="white"/>
          <w:rtl w:val="0"/>
        </w:rPr>
        <w:t xml:space="preserve">Durante la vigencia 2024, se está llevando a cabo la oferta del empleo Auxiliar Administrativo código 407 grado 04, con número de OPEC 27803, de acuerdo a la Resolución 8035 de 9 de junio del 2023, si bien el concurso está abierto, el pago de dicha vacante, se realizó en la vigencia 2023</w:t>
      </w:r>
      <w:r w:rsidDel="00000000" w:rsidR="00000000" w:rsidRPr="00000000">
        <w:rPr>
          <w:rFonts w:ascii="Arial" w:cs="Arial" w:eastAsia="Arial" w:hAnsi="Arial"/>
          <w:b w:val="1"/>
          <w:color w:val="333333"/>
          <w:sz w:val="20"/>
          <w:szCs w:val="20"/>
          <w:rtl w:val="0"/>
        </w:rPr>
        <w:t xml:space="preserve">. </w:t>
      </w:r>
    </w:p>
    <w:p w:rsidR="00000000" w:rsidDel="00000000" w:rsidP="00000000" w:rsidRDefault="00000000" w:rsidRPr="00000000" w14:paraId="000000AA">
      <w:pPr>
        <w:spacing w:after="0" w:line="240" w:lineRule="auto"/>
        <w:ind w:left="720" w:firstLine="0"/>
        <w:jc w:val="both"/>
        <w:rPr>
          <w:rFonts w:ascii="Arial" w:cs="Arial" w:eastAsia="Arial" w:hAnsi="Arial"/>
          <w:b w:val="1"/>
          <w:color w:val="333333"/>
          <w:sz w:val="20"/>
          <w:szCs w:val="20"/>
          <w:shd w:fill="e3e8ec" w:val="clear"/>
        </w:rPr>
      </w:pPr>
      <w:r w:rsidDel="00000000" w:rsidR="00000000" w:rsidRPr="00000000">
        <w:rPr>
          <w:rtl w:val="0"/>
        </w:rPr>
      </w:r>
    </w:p>
    <w:p w:rsidR="00000000" w:rsidDel="00000000" w:rsidP="00000000" w:rsidRDefault="00000000" w:rsidRPr="00000000" w14:paraId="000000AB">
      <w:pPr>
        <w:numPr>
          <w:ilvl w:val="0"/>
          <w:numId w:val="1"/>
        </w:numPr>
        <w:spacing w:after="0" w:line="240" w:lineRule="auto"/>
        <w:ind w:left="720"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Condiciones para contratar la prestación de servicios profesionales y de apoyo a la gestión - Funcionamiento.</w:t>
      </w:r>
    </w:p>
    <w:p w:rsidR="00000000" w:rsidDel="00000000" w:rsidP="00000000" w:rsidRDefault="00000000" w:rsidRPr="00000000" w14:paraId="000000AC">
      <w:pPr>
        <w:spacing w:after="0" w:line="240" w:lineRule="auto"/>
        <w:jc w:val="both"/>
        <w:rPr>
          <w:rFonts w:ascii="Arial" w:cs="Arial" w:eastAsia="Arial" w:hAnsi="Arial"/>
          <w:b w:val="1"/>
          <w:color w:val="333333"/>
          <w:sz w:val="20"/>
          <w:szCs w:val="20"/>
          <w:highlight w:val="white"/>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color w:val="333333"/>
          <w:sz w:val="20"/>
          <w:szCs w:val="20"/>
          <w:highlight w:val="white"/>
        </w:rPr>
      </w:pPr>
      <w:r w:rsidDel="00000000" w:rsidR="00000000" w:rsidRPr="00000000">
        <w:rPr>
          <w:rFonts w:ascii="Arial" w:cs="Arial" w:eastAsia="Arial" w:hAnsi="Arial"/>
          <w:color w:val="333333"/>
          <w:sz w:val="20"/>
          <w:szCs w:val="20"/>
          <w:highlight w:val="white"/>
          <w:rtl w:val="0"/>
        </w:rPr>
        <w:t xml:space="preserve">La entidad en cumplimiento de su actividad misional implementó medidas de   austeridad y eficiencia del gasto público en la contratación de prestación de servicios profesionales y de apoyo a la gestión, sin superar los techos presupuestales establecidos en relación con la vigencia anterior.</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AF">
      <w:pPr>
        <w:spacing w:after="0" w:line="240" w:lineRule="auto"/>
        <w:ind w:left="425.19685039370086" w:firstLine="0"/>
        <w:jc w:val="center"/>
        <w:rPr>
          <w:rFonts w:ascii="Arial" w:cs="Arial" w:eastAsia="Arial" w:hAnsi="Arial"/>
          <w:b w:val="1"/>
          <w:color w:val="4472c4"/>
          <w:sz w:val="20"/>
          <w:szCs w:val="20"/>
        </w:rPr>
      </w:pPr>
      <w:r w:rsidDel="00000000" w:rsidR="00000000" w:rsidRPr="00000000">
        <w:rPr>
          <w:rFonts w:ascii="Arial" w:cs="Arial" w:eastAsia="Arial" w:hAnsi="Arial"/>
          <w:b w:val="1"/>
          <w:color w:val="4472c4"/>
          <w:sz w:val="20"/>
          <w:szCs w:val="20"/>
          <w:rtl w:val="0"/>
        </w:rPr>
        <w:t xml:space="preserve">  Tabla 3. Seguimiento de rubro y meta de Austeridad del Gasto Público – Gastos no elegibles- CPS funcionamiento</w:t>
      </w:r>
    </w:p>
    <w:p w:rsidR="00000000" w:rsidDel="00000000" w:rsidP="00000000" w:rsidRDefault="00000000" w:rsidRPr="00000000" w14:paraId="000000B0">
      <w:pPr>
        <w:spacing w:after="0" w:line="240" w:lineRule="auto"/>
        <w:jc w:val="center"/>
        <w:rPr>
          <w:rFonts w:ascii="Arial" w:cs="Arial" w:eastAsia="Arial" w:hAnsi="Arial"/>
          <w:b w:val="1"/>
          <w:color w:val="4472c4"/>
          <w:sz w:val="20"/>
          <w:szCs w:val="20"/>
        </w:rPr>
      </w:pPr>
      <w:r w:rsidDel="00000000" w:rsidR="00000000" w:rsidRPr="00000000">
        <w:rPr>
          <w:rtl w:val="0"/>
        </w:rPr>
      </w:r>
    </w:p>
    <w:tbl>
      <w:tblPr>
        <w:tblStyle w:val="Table3"/>
        <w:tblW w:w="73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960"/>
        <w:gridCol w:w="1095"/>
        <w:gridCol w:w="1260"/>
        <w:gridCol w:w="885"/>
        <w:gridCol w:w="1500"/>
        <w:tblGridChange w:id="0">
          <w:tblGrid>
            <w:gridCol w:w="1695"/>
            <w:gridCol w:w="960"/>
            <w:gridCol w:w="1095"/>
            <w:gridCol w:w="1260"/>
            <w:gridCol w:w="885"/>
            <w:gridCol w:w="1500"/>
          </w:tblGrid>
        </w:tblGridChange>
      </w:tblGrid>
      <w:tr>
        <w:trPr>
          <w:cantSplit w:val="0"/>
          <w:trHeight w:val="577" w:hRule="atLeast"/>
          <w:tblHeader w:val="0"/>
        </w:trPr>
        <w:tc>
          <w:tcPr>
            <w:vMerge w:val="restart"/>
            <w:shd w:fill="b4c6e7" w:val="clear"/>
            <w:vAlign w:val="center"/>
          </w:tcPr>
          <w:p w:rsidR="00000000" w:rsidDel="00000000" w:rsidP="00000000" w:rsidRDefault="00000000" w:rsidRPr="00000000" w14:paraId="000000B1">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Rubro</w:t>
            </w:r>
          </w:p>
        </w:tc>
        <w:tc>
          <w:tcPr>
            <w:vMerge w:val="restart"/>
            <w:shd w:fill="b4c6e7" w:val="clear"/>
            <w:vAlign w:val="center"/>
          </w:tcPr>
          <w:p w:rsidR="00000000" w:rsidDel="00000000" w:rsidP="00000000" w:rsidRDefault="00000000" w:rsidRPr="00000000" w14:paraId="000000B2">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Unidad de medida</w:t>
            </w:r>
          </w:p>
        </w:tc>
        <w:tc>
          <w:tcPr>
            <w:gridSpan w:val="2"/>
            <w:shd w:fill="b4c6e7" w:val="clear"/>
            <w:vAlign w:val="center"/>
          </w:tcPr>
          <w:p w:rsidR="00000000" w:rsidDel="00000000" w:rsidP="00000000" w:rsidRDefault="00000000" w:rsidRPr="00000000" w14:paraId="000000B3">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2023</w:t>
            </w:r>
          </w:p>
        </w:tc>
        <w:tc>
          <w:tcPr>
            <w:gridSpan w:val="2"/>
            <w:shd w:fill="c6e0b4" w:val="clear"/>
            <w:vAlign w:val="center"/>
          </w:tcPr>
          <w:p w:rsidR="00000000" w:rsidDel="00000000" w:rsidP="00000000" w:rsidRDefault="00000000" w:rsidRPr="00000000" w14:paraId="000000B5">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2024</w:t>
            </w:r>
          </w:p>
        </w:tc>
      </w:tr>
      <w:tr>
        <w:trPr>
          <w:cantSplit w:val="0"/>
          <w:trHeight w:val="499" w:hRule="atLeast"/>
          <w:tblHeader w:val="0"/>
        </w:trPr>
        <w:tc>
          <w:tcPr>
            <w:vMerge w:val="continue"/>
            <w:shd w:fill="b4c6e7" w:val="cle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b4c6e7" w:val="clear"/>
            <w:vAlign w:val="center"/>
          </w:tcPr>
          <w:p w:rsidR="00000000" w:rsidDel="00000000" w:rsidP="00000000" w:rsidRDefault="00000000" w:rsidRPr="00000000" w14:paraId="000000B9">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shd w:fill="b4c6e7" w:val="clear"/>
            <w:vAlign w:val="center"/>
          </w:tcPr>
          <w:p w:rsidR="00000000" w:rsidDel="00000000" w:rsidP="00000000" w:rsidRDefault="00000000" w:rsidRPr="00000000" w14:paraId="000000BA">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c>
          <w:tcPr>
            <w:shd w:fill="c6e0b4" w:val="clear"/>
            <w:vAlign w:val="center"/>
          </w:tcPr>
          <w:p w:rsidR="00000000" w:rsidDel="00000000" w:rsidP="00000000" w:rsidRDefault="00000000" w:rsidRPr="00000000" w14:paraId="000000BB">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shd w:fill="c6e0b4" w:val="clear"/>
            <w:vAlign w:val="center"/>
          </w:tcPr>
          <w:p w:rsidR="00000000" w:rsidDel="00000000" w:rsidP="00000000" w:rsidRDefault="00000000" w:rsidRPr="00000000" w14:paraId="000000BC">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r>
      <w:tr>
        <w:trPr>
          <w:cantSplit w:val="0"/>
          <w:trHeight w:val="425" w:hRule="atLeast"/>
          <w:tblHeader w:val="0"/>
        </w:trPr>
        <w:tc>
          <w:tcPr>
            <w:shd w:fill="auto" w:val="clear"/>
            <w:vAlign w:val="center"/>
          </w:tcPr>
          <w:p w:rsidR="00000000" w:rsidDel="00000000" w:rsidP="00000000" w:rsidRDefault="00000000" w:rsidRPr="00000000" w14:paraId="000000BD">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Contratos de prestación de servicios profesionales y de apoyo a la gestión</w:t>
            </w:r>
          </w:p>
        </w:tc>
        <w:tc>
          <w:tcPr>
            <w:shd w:fill="auto" w:val="clear"/>
            <w:vAlign w:val="center"/>
          </w:tcPr>
          <w:p w:rsidR="00000000" w:rsidDel="00000000" w:rsidP="00000000" w:rsidRDefault="00000000" w:rsidRPr="00000000" w14:paraId="000000BE">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Número de contratos</w:t>
            </w:r>
          </w:p>
        </w:tc>
        <w:tc>
          <w:tcPr>
            <w:shd w:fill="auto" w:val="clear"/>
            <w:vAlign w:val="center"/>
          </w:tcPr>
          <w:p w:rsidR="00000000" w:rsidDel="00000000" w:rsidP="00000000" w:rsidRDefault="00000000" w:rsidRPr="00000000" w14:paraId="000000BF">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17 </w:t>
            </w:r>
          </w:p>
        </w:tc>
        <w:tc>
          <w:tcPr>
            <w:shd w:fill="auto" w:val="clear"/>
            <w:vAlign w:val="center"/>
          </w:tcPr>
          <w:p w:rsidR="00000000" w:rsidDel="00000000" w:rsidP="00000000" w:rsidRDefault="00000000" w:rsidRPr="00000000" w14:paraId="000000C0">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$102.424.863 </w:t>
            </w:r>
          </w:p>
        </w:tc>
        <w:tc>
          <w:tcPr>
            <w:shd w:fill="auto" w:val="clear"/>
            <w:vAlign w:val="center"/>
          </w:tcPr>
          <w:p w:rsidR="00000000" w:rsidDel="00000000" w:rsidP="00000000" w:rsidRDefault="00000000" w:rsidRPr="00000000" w14:paraId="000000C1">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1 </w:t>
            </w:r>
          </w:p>
        </w:tc>
        <w:tc>
          <w:tcPr>
            <w:shd w:fill="auto" w:val="clear"/>
            <w:vAlign w:val="center"/>
          </w:tcPr>
          <w:p w:rsidR="00000000" w:rsidDel="00000000" w:rsidP="00000000" w:rsidRDefault="00000000" w:rsidRPr="00000000" w14:paraId="000000C2">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C3">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$1.330.300 </w:t>
            </w:r>
          </w:p>
        </w:tc>
      </w:tr>
    </w:tbl>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C5">
      <w:pPr>
        <w:numPr>
          <w:ilvl w:val="0"/>
          <w:numId w:val="1"/>
        </w:numPr>
        <w:spacing w:after="0" w:line="240" w:lineRule="auto"/>
        <w:ind w:left="720"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Reducción del gasto en contratos de prestación de servicios profesionales y de apoyo a la gestión - Inversión.</w:t>
      </w:r>
    </w:p>
    <w:p w:rsidR="00000000" w:rsidDel="00000000" w:rsidP="00000000" w:rsidRDefault="00000000" w:rsidRPr="00000000" w14:paraId="000000C6">
      <w:pPr>
        <w:spacing w:after="0" w:line="240" w:lineRule="auto"/>
        <w:jc w:val="both"/>
        <w:rPr>
          <w:rFonts w:ascii="Arial" w:cs="Arial" w:eastAsia="Arial" w:hAnsi="Arial"/>
          <w:b w:val="1"/>
          <w:color w:val="333333"/>
          <w:sz w:val="20"/>
          <w:szCs w:val="20"/>
          <w:highlight w:val="white"/>
        </w:rPr>
      </w:pPr>
      <w:r w:rsidDel="00000000" w:rsidR="00000000" w:rsidRPr="00000000">
        <w:rPr>
          <w:rtl w:val="0"/>
        </w:rPr>
      </w:r>
    </w:p>
    <w:p w:rsidR="00000000" w:rsidDel="00000000" w:rsidP="00000000" w:rsidRDefault="00000000" w:rsidRPr="00000000" w14:paraId="000000C7">
      <w:pPr>
        <w:spacing w:after="0" w:line="240" w:lineRule="auto"/>
        <w:ind w:left="708" w:firstLine="0"/>
        <w:jc w:val="both"/>
        <w:rPr>
          <w:rFonts w:ascii="Arial" w:cs="Arial" w:eastAsia="Arial" w:hAnsi="Arial"/>
          <w:color w:val="333333"/>
          <w:sz w:val="20"/>
          <w:szCs w:val="20"/>
          <w:highlight w:val="white"/>
        </w:rPr>
      </w:pPr>
      <w:r w:rsidDel="00000000" w:rsidR="00000000" w:rsidRPr="00000000">
        <w:rPr>
          <w:rFonts w:ascii="Arial" w:cs="Arial" w:eastAsia="Arial" w:hAnsi="Arial"/>
          <w:color w:val="333333"/>
          <w:sz w:val="20"/>
          <w:szCs w:val="20"/>
          <w:highlight w:val="white"/>
          <w:rtl w:val="0"/>
        </w:rPr>
        <w:t xml:space="preserve">De acuerdo con la circular externa No. 000007 de 2024 “Reducción presupuestal - artículo 6 del Decreto 062 de 2024” de la Secretaría Distrital de Hacienda, se estableció que la FUGA redujera su presupuesto en $683.232.506 en cumplimiento de este artículo.  Así las cosas, la SHD efectuó la reducción mediante Decreto N. 331 de septiembre 26 de 2024.</w:t>
      </w:r>
    </w:p>
    <w:p w:rsidR="00000000" w:rsidDel="00000000" w:rsidP="00000000" w:rsidRDefault="00000000" w:rsidRPr="00000000" w14:paraId="000000C8">
      <w:pPr>
        <w:spacing w:after="0" w:line="240" w:lineRule="auto"/>
        <w:ind w:left="708" w:firstLine="0"/>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C9">
      <w:pPr>
        <w:spacing w:after="0" w:line="240" w:lineRule="auto"/>
        <w:jc w:val="center"/>
        <w:rPr>
          <w:rFonts w:ascii="Arial" w:cs="Arial" w:eastAsia="Arial" w:hAnsi="Arial"/>
          <w:color w:val="333333"/>
          <w:sz w:val="20"/>
          <w:szCs w:val="20"/>
          <w:highlight w:val="white"/>
        </w:rPr>
      </w:pPr>
      <w:r w:rsidDel="00000000" w:rsidR="00000000" w:rsidRPr="00000000">
        <w:rPr>
          <w:rFonts w:ascii="Arial" w:cs="Arial" w:eastAsia="Arial" w:hAnsi="Arial"/>
          <w:b w:val="1"/>
          <w:color w:val="4472c4"/>
          <w:sz w:val="20"/>
          <w:szCs w:val="20"/>
          <w:rtl w:val="0"/>
        </w:rPr>
        <w:t xml:space="preserve">Tabla 4. Seguimiento de rubro y meta de Austeridad del Gasto Público – Gastos no elegibles- CPS inversión</w:t>
      </w:r>
      <w:r w:rsidDel="00000000" w:rsidR="00000000" w:rsidRPr="00000000">
        <w:rPr>
          <w:rtl w:val="0"/>
        </w:rPr>
      </w:r>
    </w:p>
    <w:p w:rsidR="00000000" w:rsidDel="00000000" w:rsidP="00000000" w:rsidRDefault="00000000" w:rsidRPr="00000000" w14:paraId="000000CA">
      <w:pPr>
        <w:spacing w:after="0" w:line="240" w:lineRule="auto"/>
        <w:ind w:left="708" w:firstLine="0"/>
        <w:jc w:val="both"/>
        <w:rPr>
          <w:rFonts w:ascii="Arial" w:cs="Arial" w:eastAsia="Arial" w:hAnsi="Arial"/>
          <w:color w:val="333333"/>
          <w:sz w:val="20"/>
          <w:szCs w:val="20"/>
          <w:highlight w:val="white"/>
        </w:rPr>
      </w:pPr>
      <w:r w:rsidDel="00000000" w:rsidR="00000000" w:rsidRPr="00000000">
        <w:rPr>
          <w:rtl w:val="0"/>
        </w:rPr>
      </w:r>
    </w:p>
    <w:tbl>
      <w:tblPr>
        <w:tblStyle w:val="Table4"/>
        <w:tblW w:w="7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0"/>
        <w:gridCol w:w="1005"/>
        <w:gridCol w:w="1335"/>
        <w:gridCol w:w="1380"/>
        <w:gridCol w:w="1320"/>
        <w:gridCol w:w="1545"/>
        <w:tblGridChange w:id="0">
          <w:tblGrid>
            <w:gridCol w:w="1320"/>
            <w:gridCol w:w="1005"/>
            <w:gridCol w:w="1335"/>
            <w:gridCol w:w="1380"/>
            <w:gridCol w:w="1320"/>
            <w:gridCol w:w="1545"/>
          </w:tblGrid>
        </w:tblGridChange>
      </w:tblGrid>
      <w:tr>
        <w:trPr>
          <w:cantSplit w:val="0"/>
          <w:trHeight w:val="577" w:hRule="atLeast"/>
          <w:tblHeader w:val="0"/>
        </w:trPr>
        <w:tc>
          <w:tcPr>
            <w:vMerge w:val="restart"/>
            <w:shd w:fill="b4c6e7" w:val="clear"/>
            <w:vAlign w:val="center"/>
          </w:tcPr>
          <w:p w:rsidR="00000000" w:rsidDel="00000000" w:rsidP="00000000" w:rsidRDefault="00000000" w:rsidRPr="00000000" w14:paraId="000000CB">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Rubro</w:t>
            </w:r>
          </w:p>
        </w:tc>
        <w:tc>
          <w:tcPr>
            <w:vMerge w:val="restart"/>
            <w:shd w:fill="b4c6e7" w:val="clear"/>
            <w:vAlign w:val="center"/>
          </w:tcPr>
          <w:p w:rsidR="00000000" w:rsidDel="00000000" w:rsidP="00000000" w:rsidRDefault="00000000" w:rsidRPr="00000000" w14:paraId="000000CC">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Unidad de medida</w:t>
            </w:r>
          </w:p>
        </w:tc>
        <w:tc>
          <w:tcPr>
            <w:gridSpan w:val="2"/>
            <w:shd w:fill="b4c6e7" w:val="clear"/>
            <w:vAlign w:val="center"/>
          </w:tcPr>
          <w:p w:rsidR="00000000" w:rsidDel="00000000" w:rsidP="00000000" w:rsidRDefault="00000000" w:rsidRPr="00000000" w14:paraId="000000CD">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2023</w:t>
            </w:r>
          </w:p>
        </w:tc>
        <w:tc>
          <w:tcPr>
            <w:gridSpan w:val="2"/>
            <w:shd w:fill="c6e0b4" w:val="clear"/>
            <w:vAlign w:val="center"/>
          </w:tcPr>
          <w:p w:rsidR="00000000" w:rsidDel="00000000" w:rsidP="00000000" w:rsidRDefault="00000000" w:rsidRPr="00000000" w14:paraId="000000CF">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2024</w:t>
            </w:r>
          </w:p>
        </w:tc>
      </w:tr>
      <w:tr>
        <w:trPr>
          <w:cantSplit w:val="0"/>
          <w:trHeight w:val="499" w:hRule="atLeast"/>
          <w:tblHeader w:val="0"/>
        </w:trPr>
        <w:tc>
          <w:tcPr>
            <w:vMerge w:val="continue"/>
            <w:shd w:fill="b4c6e7" w:val="cle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b4c6e7" w:val="clear"/>
            <w:vAlign w:val="center"/>
          </w:tcPr>
          <w:p w:rsidR="00000000" w:rsidDel="00000000" w:rsidP="00000000" w:rsidRDefault="00000000" w:rsidRPr="00000000" w14:paraId="000000D3">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shd w:fill="b4c6e7" w:val="clear"/>
            <w:vAlign w:val="center"/>
          </w:tcPr>
          <w:p w:rsidR="00000000" w:rsidDel="00000000" w:rsidP="00000000" w:rsidRDefault="00000000" w:rsidRPr="00000000" w14:paraId="000000D4">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c>
          <w:tcPr>
            <w:shd w:fill="c6e0b4" w:val="clear"/>
            <w:vAlign w:val="center"/>
          </w:tcPr>
          <w:p w:rsidR="00000000" w:rsidDel="00000000" w:rsidP="00000000" w:rsidRDefault="00000000" w:rsidRPr="00000000" w14:paraId="000000D5">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shd w:fill="c6e0b4" w:val="clear"/>
            <w:vAlign w:val="center"/>
          </w:tcPr>
          <w:p w:rsidR="00000000" w:rsidDel="00000000" w:rsidP="00000000" w:rsidRDefault="00000000" w:rsidRPr="00000000" w14:paraId="000000D6">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r>
      <w:tr>
        <w:trPr>
          <w:cantSplit w:val="0"/>
          <w:trHeight w:val="425" w:hRule="atLeast"/>
          <w:tblHeader w:val="0"/>
        </w:trPr>
        <w:tc>
          <w:tcPr>
            <w:shd w:fill="auto" w:val="clear"/>
            <w:vAlign w:val="center"/>
          </w:tcPr>
          <w:p w:rsidR="00000000" w:rsidDel="00000000" w:rsidP="00000000" w:rsidRDefault="00000000" w:rsidRPr="00000000" w14:paraId="000000D7">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Contratos de prestación de servicios profesionales y de apoyo a la gestión</w:t>
            </w:r>
          </w:p>
        </w:tc>
        <w:tc>
          <w:tcPr>
            <w:shd w:fill="auto" w:val="clear"/>
            <w:vAlign w:val="center"/>
          </w:tcPr>
          <w:p w:rsidR="00000000" w:rsidDel="00000000" w:rsidP="00000000" w:rsidRDefault="00000000" w:rsidRPr="00000000" w14:paraId="000000D8">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Número de contratos</w:t>
            </w:r>
          </w:p>
        </w:tc>
        <w:tc>
          <w:tcPr>
            <w:shd w:fill="auto" w:val="clear"/>
            <w:vAlign w:val="center"/>
          </w:tcPr>
          <w:p w:rsidR="00000000" w:rsidDel="00000000" w:rsidP="00000000" w:rsidRDefault="00000000" w:rsidRPr="00000000" w14:paraId="000000D9">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114 </w:t>
            </w:r>
          </w:p>
        </w:tc>
        <w:tc>
          <w:tcPr>
            <w:shd w:fill="auto" w:val="clear"/>
            <w:vAlign w:val="center"/>
          </w:tcPr>
          <w:p w:rsidR="00000000" w:rsidDel="00000000" w:rsidP="00000000" w:rsidRDefault="00000000" w:rsidRPr="00000000" w14:paraId="000000DA">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B">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$5.604.016.667</w:t>
            </w:r>
          </w:p>
        </w:tc>
        <w:tc>
          <w:tcPr>
            <w:shd w:fill="auto" w:val="clear"/>
            <w:vAlign w:val="center"/>
          </w:tcPr>
          <w:p w:rsidR="00000000" w:rsidDel="00000000" w:rsidP="00000000" w:rsidRDefault="00000000" w:rsidRPr="00000000" w14:paraId="000000DC">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216 </w:t>
            </w:r>
          </w:p>
        </w:tc>
        <w:tc>
          <w:tcPr>
            <w:shd w:fill="auto" w:val="clear"/>
            <w:vAlign w:val="center"/>
          </w:tcPr>
          <w:p w:rsidR="00000000" w:rsidDel="00000000" w:rsidP="00000000" w:rsidRDefault="00000000" w:rsidRPr="00000000" w14:paraId="000000DD">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E">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$5.713.255.744 </w:t>
            </w:r>
          </w:p>
        </w:tc>
      </w:tr>
    </w:tbl>
    <w:p w:rsidR="00000000" w:rsidDel="00000000" w:rsidP="00000000" w:rsidRDefault="00000000" w:rsidRPr="00000000" w14:paraId="000000DF">
      <w:pPr>
        <w:spacing w:after="0" w:line="240" w:lineRule="auto"/>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E0">
      <w:pPr>
        <w:spacing w:after="0" w:line="240" w:lineRule="auto"/>
        <w:ind w:left="850.3937007874017" w:firstLine="0"/>
        <w:jc w:val="both"/>
        <w:rPr>
          <w:rFonts w:ascii="Arial" w:cs="Arial" w:eastAsia="Arial" w:hAnsi="Arial"/>
          <w:color w:val="333333"/>
          <w:sz w:val="20"/>
          <w:szCs w:val="20"/>
          <w:highlight w:val="white"/>
        </w:rPr>
      </w:pPr>
      <w:r w:rsidDel="00000000" w:rsidR="00000000" w:rsidRPr="00000000">
        <w:rPr>
          <w:rFonts w:ascii="Arial" w:cs="Arial" w:eastAsia="Arial" w:hAnsi="Arial"/>
          <w:color w:val="333333"/>
          <w:sz w:val="20"/>
          <w:szCs w:val="20"/>
          <w:highlight w:val="white"/>
          <w:rtl w:val="0"/>
        </w:rPr>
        <w:t xml:space="preserve">Ahora bien, teniendo  en cuenta  que durante la vigencia 2024, se  presentó  la armonización presupuestal  asociada al nuevo plan distrital de desarrollo, en cumplimiento de los principios de planeación, los contratos se suscribieron en el marco de  los proyectos formulados generando de esta manera que se realizará la contratación de las prestaciones de servicios por menor plazo es decir de enero a mayo  aproximadamente  para el plan de desarrollo “ un nuevo contrato social y ambiental”, y luego se adelantó la contratación entre  Junio y Diciembre  de los contratos de prestación de servicios que  obedecen al actual plan de desarrollo y al cumplimiento de las  metas  2024-2027, como resultado de lo anterior se  evidencia un mayor número de contratos, sin  que esto represente un aumento proporcional de contratistas.</w:t>
      </w:r>
    </w:p>
    <w:p w:rsidR="00000000" w:rsidDel="00000000" w:rsidP="00000000" w:rsidRDefault="00000000" w:rsidRPr="00000000" w14:paraId="000000E1">
      <w:pPr>
        <w:spacing w:after="0" w:line="240" w:lineRule="auto"/>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E2">
      <w:pPr>
        <w:numPr>
          <w:ilvl w:val="0"/>
          <w:numId w:val="1"/>
        </w:numPr>
        <w:spacing w:after="0" w:line="240" w:lineRule="auto"/>
        <w:ind w:left="720"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Viáticos y gastos de viaje. </w:t>
      </w:r>
    </w:p>
    <w:p w:rsidR="00000000" w:rsidDel="00000000" w:rsidP="00000000" w:rsidRDefault="00000000" w:rsidRPr="00000000" w14:paraId="000000E3">
      <w:pPr>
        <w:spacing w:after="0" w:line="240" w:lineRule="auto"/>
        <w:ind w:left="720" w:firstLine="0"/>
        <w:jc w:val="both"/>
        <w:rPr>
          <w:rFonts w:ascii="Arial" w:cs="Arial" w:eastAsia="Arial" w:hAnsi="Arial"/>
          <w:b w:val="1"/>
          <w:color w:val="333333"/>
          <w:sz w:val="20"/>
          <w:szCs w:val="20"/>
          <w:highlight w:val="white"/>
        </w:rPr>
      </w:pPr>
      <w:r w:rsidDel="00000000" w:rsidR="00000000" w:rsidRPr="00000000">
        <w:rPr>
          <w:rtl w:val="0"/>
        </w:rPr>
      </w:r>
    </w:p>
    <w:p w:rsidR="00000000" w:rsidDel="00000000" w:rsidP="00000000" w:rsidRDefault="00000000" w:rsidRPr="00000000" w14:paraId="000000E4">
      <w:pPr>
        <w:spacing w:after="0" w:line="240" w:lineRule="auto"/>
        <w:ind w:left="720" w:firstLine="0"/>
        <w:jc w:val="both"/>
        <w:rPr>
          <w:rFonts w:ascii="Arial" w:cs="Arial" w:eastAsia="Arial" w:hAnsi="Arial"/>
          <w:color w:val="333333"/>
          <w:sz w:val="20"/>
          <w:szCs w:val="20"/>
          <w:highlight w:val="white"/>
        </w:rPr>
      </w:pPr>
      <w:r w:rsidDel="00000000" w:rsidR="00000000" w:rsidRPr="00000000">
        <w:rPr>
          <w:rFonts w:ascii="Arial" w:cs="Arial" w:eastAsia="Arial" w:hAnsi="Arial"/>
          <w:color w:val="333333"/>
          <w:sz w:val="20"/>
          <w:szCs w:val="20"/>
          <w:highlight w:val="white"/>
          <w:rtl w:val="0"/>
        </w:rPr>
        <w:t xml:space="preserve">Durante la vigencia 2024, en el primer semestre, no se realizaron comisiones, en el segundo semestre de 2024, se realizaron dos comisiones así: a) Una al Exterior de País: Decreto Distrital 425 de 2024, concedió comisión de servicios al exterior del país del 1 al 4 de diciembre de 2024,  para que en el marco de la Feria Internacional del Libro de Guadalajara, participe en el stand del Gobierno de Zapopan realice una 'Visita a la Casa del Autor" e imparta una conferencia magistral sobre las industrias culturales y recreativas en el municipio de Zapopan - Estados Unidos Mexicanos.  b) Decreto Distrital 345 de 2024, concedió comisión de servicios al interior del país del 09 al 12 de octubre de 2024, para asistir al Mercado Musical del Pacífico y participar en la agenda académica prevista para el evento y en la formulación de alianzas con los artistas participantes, las dos comisiones se pagaron de acuerdo con lo establecido en la Ley.</w:t>
      </w:r>
    </w:p>
    <w:p w:rsidR="00000000" w:rsidDel="00000000" w:rsidP="00000000" w:rsidRDefault="00000000" w:rsidRPr="00000000" w14:paraId="000000E5">
      <w:pPr>
        <w:spacing w:after="0" w:line="240" w:lineRule="auto"/>
        <w:ind w:left="720" w:firstLine="0"/>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E6">
      <w:pPr>
        <w:numPr>
          <w:ilvl w:val="0"/>
          <w:numId w:val="1"/>
        </w:numPr>
        <w:spacing w:after="0" w:line="240" w:lineRule="auto"/>
        <w:ind w:left="720"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Bono navideño</w:t>
      </w:r>
    </w:p>
    <w:p w:rsidR="00000000" w:rsidDel="00000000" w:rsidP="00000000" w:rsidRDefault="00000000" w:rsidRPr="00000000" w14:paraId="000000E7">
      <w:pPr>
        <w:spacing w:after="0" w:line="240" w:lineRule="auto"/>
        <w:ind w:left="720" w:firstLine="0"/>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E8">
      <w:pPr>
        <w:spacing w:after="0" w:line="240" w:lineRule="auto"/>
        <w:jc w:val="both"/>
        <w:rPr>
          <w:rFonts w:ascii="Arial" w:cs="Arial" w:eastAsia="Arial" w:hAnsi="Arial"/>
          <w:color w:val="333333"/>
          <w:sz w:val="20"/>
          <w:szCs w:val="20"/>
          <w:highlight w:val="white"/>
        </w:rPr>
      </w:pPr>
      <w:r w:rsidDel="00000000" w:rsidR="00000000" w:rsidRPr="00000000">
        <w:rPr>
          <w:rFonts w:ascii="Arial" w:cs="Arial" w:eastAsia="Arial" w:hAnsi="Arial"/>
          <w:b w:val="1"/>
          <w:color w:val="333333"/>
          <w:sz w:val="20"/>
          <w:szCs w:val="20"/>
          <w:highlight w:val="white"/>
          <w:rtl w:val="0"/>
        </w:rPr>
        <w:tab/>
      </w:r>
      <w:r w:rsidDel="00000000" w:rsidR="00000000" w:rsidRPr="00000000">
        <w:rPr>
          <w:rFonts w:ascii="Arial" w:cs="Arial" w:eastAsia="Arial" w:hAnsi="Arial"/>
          <w:color w:val="333333"/>
          <w:sz w:val="20"/>
          <w:szCs w:val="20"/>
          <w:highlight w:val="white"/>
          <w:rtl w:val="0"/>
        </w:rPr>
        <w:t xml:space="preserve">No se destinaron recursos para entrega de bono navideño en la vigencia 2024. </w:t>
      </w:r>
    </w:p>
    <w:p w:rsidR="00000000" w:rsidDel="00000000" w:rsidP="00000000" w:rsidRDefault="00000000" w:rsidRPr="00000000" w14:paraId="000000E9">
      <w:pPr>
        <w:spacing w:after="0" w:line="240" w:lineRule="auto"/>
        <w:jc w:val="both"/>
        <w:rPr>
          <w:rFonts w:ascii="Arial" w:cs="Arial" w:eastAsia="Arial" w:hAnsi="Arial"/>
          <w:b w:val="1"/>
          <w:color w:val="333333"/>
          <w:sz w:val="20"/>
          <w:szCs w:val="20"/>
          <w:highlight w:val="white"/>
        </w:rPr>
      </w:pPr>
      <w:r w:rsidDel="00000000" w:rsidR="00000000" w:rsidRPr="00000000">
        <w:rPr>
          <w:rtl w:val="0"/>
        </w:rPr>
      </w:r>
    </w:p>
    <w:p w:rsidR="00000000" w:rsidDel="00000000" w:rsidP="00000000" w:rsidRDefault="00000000" w:rsidRPr="00000000" w14:paraId="000000EA">
      <w:pPr>
        <w:numPr>
          <w:ilvl w:val="0"/>
          <w:numId w:val="1"/>
        </w:numPr>
        <w:spacing w:after="0" w:line="240" w:lineRule="auto"/>
        <w:ind w:left="720"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Cajas menores</w:t>
      </w:r>
    </w:p>
    <w:p w:rsidR="00000000" w:rsidDel="00000000" w:rsidP="00000000" w:rsidRDefault="00000000" w:rsidRPr="00000000" w14:paraId="000000EB">
      <w:pPr>
        <w:spacing w:after="0" w:line="240" w:lineRule="auto"/>
        <w:ind w:left="720" w:firstLine="0"/>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EC">
      <w:pPr>
        <w:spacing w:after="0" w:line="240" w:lineRule="auto"/>
        <w:ind w:left="720" w:firstLine="0"/>
        <w:jc w:val="both"/>
        <w:rPr>
          <w:rFonts w:ascii="Arial" w:cs="Arial" w:eastAsia="Arial" w:hAnsi="Arial"/>
          <w:color w:val="333333"/>
          <w:sz w:val="20"/>
          <w:szCs w:val="20"/>
          <w:highlight w:val="white"/>
        </w:rPr>
      </w:pPr>
      <w:r w:rsidDel="00000000" w:rsidR="00000000" w:rsidRPr="00000000">
        <w:rPr>
          <w:rFonts w:ascii="Arial" w:cs="Arial" w:eastAsia="Arial" w:hAnsi="Arial"/>
          <w:color w:val="333333"/>
          <w:sz w:val="20"/>
          <w:szCs w:val="20"/>
          <w:highlight w:val="white"/>
          <w:rtl w:val="0"/>
        </w:rPr>
        <w:t xml:space="preserve">La entidad no ha ejecutado ninguna de las operaciones descritas en el artículo 62 del Decreto Distrital 192 de 2021, así como tampoco ha contratado o realizado gastos por caja menor para servicios de alimentación de reuniones de trabajo, los gastos realizados son de carácter de imprevistos, urgentes, imprescindibles e inaplazables y enmarcados dentro de las políticas de racionalización del gasto.</w:t>
      </w:r>
    </w:p>
    <w:p w:rsidR="00000000" w:rsidDel="00000000" w:rsidP="00000000" w:rsidRDefault="00000000" w:rsidRPr="00000000" w14:paraId="000000ED">
      <w:pPr>
        <w:spacing w:after="0" w:line="240" w:lineRule="auto"/>
        <w:ind w:left="720" w:firstLine="0"/>
        <w:jc w:val="both"/>
        <w:rPr>
          <w:rFonts w:ascii="Arial" w:cs="Arial" w:eastAsia="Arial" w:hAnsi="Arial"/>
          <w:b w:val="1"/>
          <w:color w:val="333333"/>
          <w:sz w:val="20"/>
          <w:szCs w:val="20"/>
          <w:highlight w:val="white"/>
        </w:rPr>
      </w:pPr>
      <w:r w:rsidDel="00000000" w:rsidR="00000000" w:rsidRPr="00000000">
        <w:rPr>
          <w:rtl w:val="0"/>
        </w:rPr>
      </w:r>
    </w:p>
    <w:p w:rsidR="00000000" w:rsidDel="00000000" w:rsidP="00000000" w:rsidRDefault="00000000" w:rsidRPr="00000000" w14:paraId="000000EE">
      <w:pPr>
        <w:numPr>
          <w:ilvl w:val="0"/>
          <w:numId w:val="1"/>
        </w:numPr>
        <w:spacing w:after="0" w:line="240" w:lineRule="auto"/>
        <w:ind w:left="720"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Mantenimiento o reparación de bienes inmuebles o muebles:</w:t>
      </w:r>
    </w:p>
    <w:p w:rsidR="00000000" w:rsidDel="00000000" w:rsidP="00000000" w:rsidRDefault="00000000" w:rsidRPr="00000000" w14:paraId="000000EF">
      <w:pPr>
        <w:spacing w:after="0" w:line="240" w:lineRule="auto"/>
        <w:ind w:left="720" w:firstLine="0"/>
        <w:jc w:val="both"/>
        <w:rPr>
          <w:rFonts w:ascii="Arial" w:cs="Arial" w:eastAsia="Arial" w:hAnsi="Arial"/>
          <w:b w:val="1"/>
          <w:color w:val="333333"/>
          <w:sz w:val="20"/>
          <w:szCs w:val="20"/>
          <w:highlight w:val="white"/>
        </w:rPr>
      </w:pPr>
      <w:r w:rsidDel="00000000" w:rsidR="00000000" w:rsidRPr="00000000">
        <w:rPr>
          <w:rtl w:val="0"/>
        </w:rPr>
      </w:r>
    </w:p>
    <w:p w:rsidR="00000000" w:rsidDel="00000000" w:rsidP="00000000" w:rsidRDefault="00000000" w:rsidRPr="00000000" w14:paraId="000000F0">
      <w:pPr>
        <w:spacing w:after="0" w:line="240" w:lineRule="auto"/>
        <w:ind w:left="720" w:firstLine="0"/>
        <w:jc w:val="both"/>
        <w:rPr>
          <w:rFonts w:ascii="Arial" w:cs="Arial" w:eastAsia="Arial" w:hAnsi="Arial"/>
          <w:color w:val="333333"/>
          <w:sz w:val="20"/>
          <w:szCs w:val="20"/>
          <w:highlight w:val="white"/>
        </w:rPr>
      </w:pPr>
      <w:r w:rsidDel="00000000" w:rsidR="00000000" w:rsidRPr="00000000">
        <w:rPr>
          <w:rFonts w:ascii="Arial" w:cs="Arial" w:eastAsia="Arial" w:hAnsi="Arial"/>
          <w:color w:val="333333"/>
          <w:sz w:val="20"/>
          <w:szCs w:val="20"/>
          <w:highlight w:val="white"/>
          <w:rtl w:val="0"/>
        </w:rPr>
        <w:t xml:space="preserve">Durante el periodo correspondiente al presente informe, no se contó con ejecución de contrato de mantenimiento de infraestructura física de las diferentes sedes de la entidad, en su lugar se desarrollaron actividades relacionadas con mantenimientos menores, de carácter correctivo y/o preventivo, tendientes a mantener la condiciones mínimas de preservación, conservación y funcionalidad de las sedes de la fundación; de tal manera que se garantizara la seguridad de los colaboradores y visitantes, el normal funcionamiento de la entidad y la correcta prestación de los servicios.</w:t>
      </w:r>
    </w:p>
    <w:p w:rsidR="00000000" w:rsidDel="00000000" w:rsidP="00000000" w:rsidRDefault="00000000" w:rsidRPr="00000000" w14:paraId="000000F1">
      <w:pPr>
        <w:spacing w:after="0" w:line="240" w:lineRule="auto"/>
        <w:ind w:left="720" w:firstLine="0"/>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F2">
      <w:pPr>
        <w:spacing w:after="0" w:line="240" w:lineRule="auto"/>
        <w:ind w:left="720" w:firstLine="0"/>
        <w:jc w:val="both"/>
        <w:rPr>
          <w:rFonts w:ascii="Arial" w:cs="Arial" w:eastAsia="Arial" w:hAnsi="Arial"/>
          <w:color w:val="333333"/>
          <w:sz w:val="20"/>
          <w:szCs w:val="20"/>
          <w:highlight w:val="white"/>
        </w:rPr>
      </w:pPr>
      <w:r w:rsidDel="00000000" w:rsidR="00000000" w:rsidRPr="00000000">
        <w:rPr>
          <w:rFonts w:ascii="Arial" w:cs="Arial" w:eastAsia="Arial" w:hAnsi="Arial"/>
          <w:color w:val="333333"/>
          <w:sz w:val="20"/>
          <w:szCs w:val="20"/>
          <w:highlight w:val="white"/>
          <w:rtl w:val="0"/>
        </w:rPr>
        <w:t xml:space="preserve">La Fundación, no realizó la adquisición de bienes muebles, toda vez que con los existentes se garantizó el normal funcionamiento de la entidad.</w:t>
      </w:r>
    </w:p>
    <w:p w:rsidR="00000000" w:rsidDel="00000000" w:rsidP="00000000" w:rsidRDefault="00000000" w:rsidRPr="00000000" w14:paraId="000000F3">
      <w:pPr>
        <w:spacing w:after="0" w:line="240" w:lineRule="auto"/>
        <w:ind w:left="720" w:firstLine="0"/>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F4">
      <w:pPr>
        <w:spacing w:after="0" w:line="240" w:lineRule="auto"/>
        <w:ind w:left="720" w:firstLine="0"/>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F5">
      <w:pPr>
        <w:spacing w:after="0" w:line="240" w:lineRule="auto"/>
        <w:ind w:left="720" w:firstLine="0"/>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F6">
      <w:pPr>
        <w:spacing w:after="0" w:line="240" w:lineRule="auto"/>
        <w:ind w:left="720" w:firstLine="0"/>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F7">
      <w:pPr>
        <w:spacing w:after="0" w:line="240" w:lineRule="auto"/>
        <w:ind w:left="720" w:firstLine="0"/>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F8">
      <w:pPr>
        <w:spacing w:after="0" w:line="240" w:lineRule="auto"/>
        <w:ind w:left="720" w:firstLine="0"/>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F9">
      <w:pPr>
        <w:numPr>
          <w:ilvl w:val="0"/>
          <w:numId w:val="1"/>
        </w:numPr>
        <w:spacing w:after="0" w:line="240" w:lineRule="auto"/>
        <w:ind w:left="720"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Actividades definidas en los planes y programas de bienestar e incentivos para servidores públicos o actos protocolarios que deben atenderse misionalmente.</w:t>
      </w:r>
    </w:p>
    <w:p w:rsidR="00000000" w:rsidDel="00000000" w:rsidP="00000000" w:rsidRDefault="00000000" w:rsidRPr="00000000" w14:paraId="000000F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FB">
      <w:pPr>
        <w:spacing w:after="0" w:line="240" w:lineRule="auto"/>
        <w:ind w:left="720" w:firstLine="0"/>
        <w:jc w:val="both"/>
        <w:rPr>
          <w:rFonts w:ascii="Arial" w:cs="Arial" w:eastAsia="Arial" w:hAnsi="Arial"/>
          <w:color w:val="333333"/>
          <w:sz w:val="20"/>
          <w:szCs w:val="20"/>
          <w:highlight w:val="white"/>
        </w:rPr>
      </w:pPr>
      <w:r w:rsidDel="00000000" w:rsidR="00000000" w:rsidRPr="00000000">
        <w:rPr>
          <w:rFonts w:ascii="Arial" w:cs="Arial" w:eastAsia="Arial" w:hAnsi="Arial"/>
          <w:color w:val="333333"/>
          <w:sz w:val="20"/>
          <w:szCs w:val="20"/>
          <w:highlight w:val="white"/>
          <w:rtl w:val="0"/>
        </w:rPr>
        <w:t xml:space="preserve">Durante la vigencia se realizaron las siguientes actividades de conmemoración, relacionadas a continuación: celebración del día de la familia, la celebración del día del servidor público y la actividad de cierre de gestión, en cumplimiento del marco normativo y el Plan de Bienestar e Incentivos Institucionales, sin superar los topes establecidos e implementado las medidas de austeridad correspondientes.</w:t>
      </w:r>
    </w:p>
    <w:p w:rsidR="00000000" w:rsidDel="00000000" w:rsidP="00000000" w:rsidRDefault="00000000" w:rsidRPr="00000000" w14:paraId="000000FC">
      <w:pPr>
        <w:spacing w:after="0" w:line="240" w:lineRule="auto"/>
        <w:ind w:left="720" w:firstLine="0"/>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FD">
      <w:pPr>
        <w:numPr>
          <w:ilvl w:val="0"/>
          <w:numId w:val="1"/>
        </w:numPr>
        <w:spacing w:after="0" w:line="240" w:lineRule="auto"/>
        <w:ind w:left="720"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Telefonía celular</w:t>
      </w:r>
    </w:p>
    <w:p w:rsidR="00000000" w:rsidDel="00000000" w:rsidP="00000000" w:rsidRDefault="00000000" w:rsidRPr="00000000" w14:paraId="000000FE">
      <w:pPr>
        <w:spacing w:after="0" w:line="240" w:lineRule="auto"/>
        <w:ind w:left="0" w:firstLine="0"/>
        <w:jc w:val="left"/>
        <w:rPr>
          <w:rFonts w:ascii="Arial" w:cs="Arial" w:eastAsia="Arial" w:hAnsi="Arial"/>
          <w:b w:val="1"/>
          <w:color w:val="4472c4"/>
          <w:sz w:val="20"/>
          <w:szCs w:val="20"/>
        </w:rPr>
      </w:pPr>
      <w:r w:rsidDel="00000000" w:rsidR="00000000" w:rsidRPr="00000000">
        <w:rPr>
          <w:rtl w:val="0"/>
        </w:rPr>
      </w:r>
    </w:p>
    <w:p w:rsidR="00000000" w:rsidDel="00000000" w:rsidP="00000000" w:rsidRDefault="00000000" w:rsidRPr="00000000" w14:paraId="000000FF">
      <w:pPr>
        <w:spacing w:after="0" w:line="240" w:lineRule="auto"/>
        <w:ind w:left="708.6614173228347" w:firstLine="0"/>
        <w:jc w:val="center"/>
        <w:rPr>
          <w:rFonts w:ascii="Arial" w:cs="Arial" w:eastAsia="Arial" w:hAnsi="Arial"/>
          <w:b w:val="1"/>
          <w:color w:val="4472c4"/>
          <w:sz w:val="20"/>
          <w:szCs w:val="20"/>
        </w:rPr>
      </w:pPr>
      <w:r w:rsidDel="00000000" w:rsidR="00000000" w:rsidRPr="00000000">
        <w:rPr>
          <w:rFonts w:ascii="Arial" w:cs="Arial" w:eastAsia="Arial" w:hAnsi="Arial"/>
          <w:b w:val="1"/>
          <w:color w:val="4472c4"/>
          <w:sz w:val="20"/>
          <w:szCs w:val="20"/>
          <w:rtl w:val="0"/>
        </w:rPr>
        <w:t xml:space="preserve">Tabla 5. Seguimiento de rubro y meta de Austeridad del Gasto Público – Gastos no elegibles- telefonía celular</w:t>
      </w:r>
    </w:p>
    <w:p w:rsidR="00000000" w:rsidDel="00000000" w:rsidP="00000000" w:rsidRDefault="00000000" w:rsidRPr="00000000" w14:paraId="00000100">
      <w:pPr>
        <w:spacing w:after="0" w:line="240" w:lineRule="auto"/>
        <w:ind w:left="0" w:firstLine="0"/>
        <w:jc w:val="left"/>
        <w:rPr>
          <w:rFonts w:ascii="Arial" w:cs="Arial" w:eastAsia="Arial" w:hAnsi="Arial"/>
          <w:b w:val="1"/>
          <w:color w:val="4472c4"/>
          <w:sz w:val="20"/>
          <w:szCs w:val="20"/>
        </w:rPr>
      </w:pPr>
      <w:r w:rsidDel="00000000" w:rsidR="00000000" w:rsidRPr="00000000">
        <w:rPr>
          <w:rtl w:val="0"/>
        </w:rPr>
      </w:r>
    </w:p>
    <w:tbl>
      <w:tblPr>
        <w:tblStyle w:val="Table5"/>
        <w:tblW w:w="76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5"/>
        <w:gridCol w:w="1020"/>
        <w:gridCol w:w="990"/>
        <w:gridCol w:w="1230"/>
        <w:gridCol w:w="1230"/>
        <w:gridCol w:w="1845"/>
        <w:tblGridChange w:id="0">
          <w:tblGrid>
            <w:gridCol w:w="1305"/>
            <w:gridCol w:w="1020"/>
            <w:gridCol w:w="990"/>
            <w:gridCol w:w="1230"/>
            <w:gridCol w:w="1230"/>
            <w:gridCol w:w="1845"/>
          </w:tblGrid>
        </w:tblGridChange>
      </w:tblGrid>
      <w:tr>
        <w:trPr>
          <w:cantSplit w:val="0"/>
          <w:trHeight w:val="577" w:hRule="atLeast"/>
          <w:tblHeader w:val="0"/>
        </w:trPr>
        <w:tc>
          <w:tcPr>
            <w:vMerge w:val="restart"/>
            <w:shd w:fill="b4c6e7" w:val="clear"/>
            <w:vAlign w:val="center"/>
          </w:tcPr>
          <w:p w:rsidR="00000000" w:rsidDel="00000000" w:rsidP="00000000" w:rsidRDefault="00000000" w:rsidRPr="00000000" w14:paraId="00000101">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Rubro</w:t>
            </w:r>
          </w:p>
        </w:tc>
        <w:tc>
          <w:tcPr>
            <w:vMerge w:val="restart"/>
            <w:shd w:fill="b4c6e7" w:val="clear"/>
            <w:vAlign w:val="center"/>
          </w:tcPr>
          <w:p w:rsidR="00000000" w:rsidDel="00000000" w:rsidP="00000000" w:rsidRDefault="00000000" w:rsidRPr="00000000" w14:paraId="00000102">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Unidad de medida</w:t>
            </w:r>
          </w:p>
        </w:tc>
        <w:tc>
          <w:tcPr>
            <w:gridSpan w:val="2"/>
            <w:shd w:fill="b4c6e7" w:val="clear"/>
            <w:vAlign w:val="center"/>
          </w:tcPr>
          <w:p w:rsidR="00000000" w:rsidDel="00000000" w:rsidP="00000000" w:rsidRDefault="00000000" w:rsidRPr="00000000" w14:paraId="00000103">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2023</w:t>
            </w:r>
          </w:p>
        </w:tc>
        <w:tc>
          <w:tcPr>
            <w:gridSpan w:val="2"/>
            <w:shd w:fill="c6e0b4" w:val="clear"/>
            <w:vAlign w:val="center"/>
          </w:tcPr>
          <w:p w:rsidR="00000000" w:rsidDel="00000000" w:rsidP="00000000" w:rsidRDefault="00000000" w:rsidRPr="00000000" w14:paraId="00000105">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2024</w:t>
            </w:r>
          </w:p>
        </w:tc>
      </w:tr>
      <w:tr>
        <w:trPr>
          <w:cantSplit w:val="0"/>
          <w:trHeight w:val="499" w:hRule="atLeast"/>
          <w:tblHeader w:val="0"/>
        </w:trPr>
        <w:tc>
          <w:tcPr>
            <w:vMerge w:val="continue"/>
            <w:shd w:fill="b4c6e7" w:val="cle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b4c6e7" w:val="clear"/>
            <w:vAlign w:val="center"/>
          </w:tcPr>
          <w:p w:rsidR="00000000" w:rsidDel="00000000" w:rsidP="00000000" w:rsidRDefault="00000000" w:rsidRPr="00000000" w14:paraId="00000109">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shd w:fill="b4c6e7" w:val="clear"/>
            <w:vAlign w:val="center"/>
          </w:tcPr>
          <w:p w:rsidR="00000000" w:rsidDel="00000000" w:rsidP="00000000" w:rsidRDefault="00000000" w:rsidRPr="00000000" w14:paraId="0000010A">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c>
          <w:tcPr>
            <w:shd w:fill="c6e0b4" w:val="clear"/>
            <w:vAlign w:val="center"/>
          </w:tcPr>
          <w:p w:rsidR="00000000" w:rsidDel="00000000" w:rsidP="00000000" w:rsidRDefault="00000000" w:rsidRPr="00000000" w14:paraId="0000010B">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shd w:fill="c6e0b4" w:val="clear"/>
            <w:vAlign w:val="center"/>
          </w:tcPr>
          <w:p w:rsidR="00000000" w:rsidDel="00000000" w:rsidP="00000000" w:rsidRDefault="00000000" w:rsidRPr="00000000" w14:paraId="0000010C">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r>
      <w:tr>
        <w:trPr>
          <w:cantSplit w:val="0"/>
          <w:trHeight w:val="327" w:hRule="atLeast"/>
          <w:tblHeader w:val="0"/>
        </w:trPr>
        <w:tc>
          <w:tcPr>
            <w:shd w:fill="auto" w:val="clea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Planes de telefonía móvil</w:t>
            </w:r>
          </w:p>
        </w:tc>
        <w:tc>
          <w:tcPr>
            <w:shd w:fill="auto" w:val="clea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líneas</w:t>
            </w:r>
          </w:p>
        </w:tc>
        <w:tc>
          <w:tcPr>
            <w:shd w:fill="auto" w:val="clear"/>
            <w:tcMar>
              <w:top w:w="0.0" w:type="dxa"/>
              <w:left w:w="40.0" w:type="dxa"/>
              <w:bottom w:w="0.0" w:type="dxa"/>
              <w:right w:w="40.0" w:type="dxa"/>
            </w:tcMar>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w:t>
            </w:r>
          </w:p>
        </w:tc>
        <w:tc>
          <w:tcPr>
            <w:shd w:fill="auto" w:val="clear"/>
            <w:tcMar>
              <w:top w:w="0.0" w:type="dxa"/>
              <w:left w:w="40.0" w:type="dxa"/>
              <w:bottom w:w="0.0" w:type="dxa"/>
              <w:right w:w="40.0" w:type="dxa"/>
            </w:tcMa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$3.636.441</w:t>
            </w:r>
          </w:p>
        </w:tc>
        <w:tc>
          <w:tcPr>
            <w:shd w:fill="auto" w:val="clear"/>
            <w:tcMar>
              <w:top w:w="0.0" w:type="dxa"/>
              <w:left w:w="40.0" w:type="dxa"/>
              <w:bottom w:w="0.0" w:type="dxa"/>
              <w:right w:w="40.0" w:type="dxa"/>
            </w:tcMa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w:t>
            </w:r>
          </w:p>
        </w:tc>
        <w:tc>
          <w:tcPr>
            <w:shd w:fill="auto" w:val="clear"/>
            <w:tcMar>
              <w:top w:w="0.0" w:type="dxa"/>
              <w:left w:w="40.0" w:type="dxa"/>
              <w:bottom w:w="0.0" w:type="dxa"/>
              <w:right w:w="40.0" w:type="dxa"/>
            </w:tcMa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$ 2.276.826</w:t>
            </w:r>
          </w:p>
        </w:tc>
      </w:tr>
    </w:tbl>
    <w:p w:rsidR="00000000" w:rsidDel="00000000" w:rsidP="00000000" w:rsidRDefault="00000000" w:rsidRPr="00000000" w14:paraId="00000113">
      <w:pPr>
        <w:spacing w:line="276" w:lineRule="auto"/>
        <w:ind w:left="709" w:firstLine="0"/>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114">
      <w:pPr>
        <w:spacing w:line="276" w:lineRule="auto"/>
        <w:ind w:left="709" w:firstLine="0"/>
        <w:jc w:val="both"/>
        <w:rPr>
          <w:rFonts w:ascii="Arial" w:cs="Arial" w:eastAsia="Arial" w:hAnsi="Arial"/>
          <w:b w:val="1"/>
          <w:sz w:val="20"/>
          <w:szCs w:val="20"/>
          <w:highlight w:val="white"/>
        </w:rPr>
      </w:pPr>
      <w:r w:rsidDel="00000000" w:rsidR="00000000" w:rsidRPr="00000000">
        <w:rPr>
          <w:rFonts w:ascii="Arial" w:cs="Arial" w:eastAsia="Arial" w:hAnsi="Arial"/>
          <w:sz w:val="20"/>
          <w:szCs w:val="20"/>
          <w:rtl w:val="0"/>
        </w:rPr>
        <w:t xml:space="preserve">La disminución en el costo de servicio de telefonía móvil en 2024 se debe a que en la actualidad la entidad cuenta con 2 líneas de las 4 con las que contaba inicialmente, el servicio se encuentra asignado al área de Atención al ciudadano, teniendo en cuenta las medidas de austeridad del Decreto 062, Art 15,  generando un ahorro equivalente al 37% en el indicador de austeridad frente al periodo anterior.</w:t>
      </w:r>
      <w:r w:rsidDel="00000000" w:rsidR="00000000" w:rsidRPr="00000000">
        <w:rPr>
          <w:rtl w:val="0"/>
        </w:rPr>
      </w:r>
    </w:p>
    <w:p w:rsidR="00000000" w:rsidDel="00000000" w:rsidP="00000000" w:rsidRDefault="00000000" w:rsidRPr="00000000" w14:paraId="00000115">
      <w:pPr>
        <w:numPr>
          <w:ilvl w:val="0"/>
          <w:numId w:val="6"/>
        </w:numPr>
        <w:spacing w:after="0" w:line="240" w:lineRule="auto"/>
        <w:ind w:left="786"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Telefonía fija</w:t>
      </w:r>
    </w:p>
    <w:p w:rsidR="00000000" w:rsidDel="00000000" w:rsidP="00000000" w:rsidRDefault="00000000" w:rsidRPr="00000000" w14:paraId="00000116">
      <w:pPr>
        <w:spacing w:after="0" w:line="240" w:lineRule="auto"/>
        <w:ind w:left="786" w:firstLine="0"/>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117">
      <w:pPr>
        <w:spacing w:after="0" w:line="240" w:lineRule="auto"/>
        <w:ind w:left="708.6614173228347" w:firstLine="0"/>
        <w:jc w:val="center"/>
        <w:rPr>
          <w:rFonts w:ascii="Arial" w:cs="Arial" w:eastAsia="Arial" w:hAnsi="Arial"/>
          <w:b w:val="1"/>
          <w:sz w:val="20"/>
          <w:szCs w:val="20"/>
          <w:highlight w:val="white"/>
        </w:rPr>
      </w:pPr>
      <w:r w:rsidDel="00000000" w:rsidR="00000000" w:rsidRPr="00000000">
        <w:rPr>
          <w:rFonts w:ascii="Arial" w:cs="Arial" w:eastAsia="Arial" w:hAnsi="Arial"/>
          <w:b w:val="1"/>
          <w:color w:val="4472c4"/>
          <w:sz w:val="20"/>
          <w:szCs w:val="20"/>
          <w:rtl w:val="0"/>
        </w:rPr>
        <w:t xml:space="preserve">Tabla 6. Seguimiento de rubro y meta de Austeridad del Gasto Público – Gastos no elegibles- telefonía fija</w:t>
      </w:r>
      <w:r w:rsidDel="00000000" w:rsidR="00000000" w:rsidRPr="00000000">
        <w:rPr>
          <w:rtl w:val="0"/>
        </w:rPr>
      </w:r>
    </w:p>
    <w:p w:rsidR="00000000" w:rsidDel="00000000" w:rsidP="00000000" w:rsidRDefault="00000000" w:rsidRPr="00000000" w14:paraId="00000118">
      <w:pPr>
        <w:spacing w:after="0" w:line="240" w:lineRule="auto"/>
        <w:ind w:left="3479" w:hanging="360"/>
        <w:rPr>
          <w:rFonts w:ascii="Arial" w:cs="Arial" w:eastAsia="Arial" w:hAnsi="Arial"/>
          <w:b w:val="1"/>
          <w:color w:val="c00000"/>
          <w:sz w:val="20"/>
          <w:szCs w:val="20"/>
        </w:rPr>
      </w:pPr>
      <w:r w:rsidDel="00000000" w:rsidR="00000000" w:rsidRPr="00000000">
        <w:rPr>
          <w:rtl w:val="0"/>
        </w:rPr>
      </w:r>
    </w:p>
    <w:tbl>
      <w:tblPr>
        <w:tblStyle w:val="Table6"/>
        <w:tblW w:w="76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5"/>
        <w:gridCol w:w="1035"/>
        <w:gridCol w:w="810"/>
        <w:gridCol w:w="1425"/>
        <w:gridCol w:w="1560"/>
        <w:gridCol w:w="1470"/>
        <w:tblGridChange w:id="0">
          <w:tblGrid>
            <w:gridCol w:w="1305"/>
            <w:gridCol w:w="1035"/>
            <w:gridCol w:w="810"/>
            <w:gridCol w:w="1425"/>
            <w:gridCol w:w="1560"/>
            <w:gridCol w:w="1470"/>
          </w:tblGrid>
        </w:tblGridChange>
      </w:tblGrid>
      <w:tr>
        <w:trPr>
          <w:cantSplit w:val="0"/>
          <w:trHeight w:val="577" w:hRule="atLeast"/>
          <w:tblHeader w:val="0"/>
        </w:trPr>
        <w:tc>
          <w:tcPr>
            <w:vMerge w:val="restart"/>
            <w:shd w:fill="b4c6e7" w:val="clear"/>
            <w:vAlign w:val="center"/>
          </w:tcPr>
          <w:p w:rsidR="00000000" w:rsidDel="00000000" w:rsidP="00000000" w:rsidRDefault="00000000" w:rsidRPr="00000000" w14:paraId="00000119">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Rubro</w:t>
            </w:r>
          </w:p>
        </w:tc>
        <w:tc>
          <w:tcPr>
            <w:vMerge w:val="restart"/>
            <w:shd w:fill="b4c6e7" w:val="clear"/>
            <w:vAlign w:val="center"/>
          </w:tcPr>
          <w:p w:rsidR="00000000" w:rsidDel="00000000" w:rsidP="00000000" w:rsidRDefault="00000000" w:rsidRPr="00000000" w14:paraId="0000011A">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Unidad de medida</w:t>
            </w:r>
          </w:p>
        </w:tc>
        <w:tc>
          <w:tcPr>
            <w:gridSpan w:val="2"/>
            <w:shd w:fill="b4c6e7" w:val="clear"/>
            <w:vAlign w:val="center"/>
          </w:tcPr>
          <w:p w:rsidR="00000000" w:rsidDel="00000000" w:rsidP="00000000" w:rsidRDefault="00000000" w:rsidRPr="00000000" w14:paraId="0000011B">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2023</w:t>
            </w:r>
          </w:p>
        </w:tc>
        <w:tc>
          <w:tcPr>
            <w:gridSpan w:val="2"/>
            <w:shd w:fill="c6e0b4" w:val="clear"/>
            <w:vAlign w:val="center"/>
          </w:tcPr>
          <w:p w:rsidR="00000000" w:rsidDel="00000000" w:rsidP="00000000" w:rsidRDefault="00000000" w:rsidRPr="00000000" w14:paraId="0000011D">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2024</w:t>
            </w:r>
          </w:p>
        </w:tc>
      </w:tr>
      <w:tr>
        <w:trPr>
          <w:cantSplit w:val="0"/>
          <w:trHeight w:val="499" w:hRule="atLeast"/>
          <w:tblHeader w:val="0"/>
        </w:trPr>
        <w:tc>
          <w:tcPr>
            <w:vMerge w:val="continue"/>
            <w:shd w:fill="b4c6e7" w:val="cle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bottom w:color="000000" w:space="0" w:sz="4" w:val="single"/>
            </w:tcBorders>
            <w:shd w:fill="b4c6e7" w:val="clear"/>
            <w:vAlign w:val="center"/>
          </w:tcPr>
          <w:p w:rsidR="00000000" w:rsidDel="00000000" w:rsidP="00000000" w:rsidRDefault="00000000" w:rsidRPr="00000000" w14:paraId="00000121">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tcBorders>
              <w:bottom w:color="000000" w:space="0" w:sz="4" w:val="single"/>
            </w:tcBorders>
            <w:shd w:fill="b4c6e7" w:val="clear"/>
            <w:vAlign w:val="center"/>
          </w:tcPr>
          <w:p w:rsidR="00000000" w:rsidDel="00000000" w:rsidP="00000000" w:rsidRDefault="00000000" w:rsidRPr="00000000" w14:paraId="00000122">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c>
          <w:tcPr>
            <w:tcBorders>
              <w:bottom w:color="000000" w:space="0" w:sz="4" w:val="single"/>
            </w:tcBorders>
            <w:shd w:fill="c6e0b4" w:val="clear"/>
            <w:vAlign w:val="center"/>
          </w:tcPr>
          <w:p w:rsidR="00000000" w:rsidDel="00000000" w:rsidP="00000000" w:rsidRDefault="00000000" w:rsidRPr="00000000" w14:paraId="00000123">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tcBorders>
              <w:bottom w:color="000000" w:space="0" w:sz="4" w:val="single"/>
            </w:tcBorders>
            <w:shd w:fill="c6e0b4" w:val="clear"/>
            <w:vAlign w:val="center"/>
          </w:tcPr>
          <w:p w:rsidR="00000000" w:rsidDel="00000000" w:rsidP="00000000" w:rsidRDefault="00000000" w:rsidRPr="00000000" w14:paraId="00000124">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r>
      <w:tr>
        <w:trPr>
          <w:cantSplit w:val="0"/>
          <w:trHeight w:val="32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Líneas de telefonía fija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líneas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$5.334.090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$ 5.432.240</w:t>
            </w:r>
          </w:p>
        </w:tc>
      </w:tr>
    </w:tbl>
    <w:p w:rsidR="00000000" w:rsidDel="00000000" w:rsidP="00000000" w:rsidRDefault="00000000" w:rsidRPr="00000000" w14:paraId="0000012B">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spacing w:line="276" w:lineRule="auto"/>
        <w:ind w:left="70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Este servicio tiene un costo fijo, el cual atiende la necesidad básica de la entidad, el incremento corresponde al establecido legalmente para cada vigencia.</w:t>
      </w:r>
    </w:p>
    <w:p w:rsidR="00000000" w:rsidDel="00000000" w:rsidP="00000000" w:rsidRDefault="00000000" w:rsidRPr="00000000" w14:paraId="0000012D">
      <w:pPr>
        <w:spacing w:line="276" w:lineRule="auto"/>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spacing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spacing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0">
      <w:pPr>
        <w:spacing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spacing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2">
      <w:pPr>
        <w:numPr>
          <w:ilvl w:val="0"/>
          <w:numId w:val="6"/>
        </w:numPr>
        <w:spacing w:after="0" w:line="240" w:lineRule="auto"/>
        <w:ind w:left="786"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Vehículos oficiales</w:t>
      </w:r>
    </w:p>
    <w:p w:rsidR="00000000" w:rsidDel="00000000" w:rsidP="00000000" w:rsidRDefault="00000000" w:rsidRPr="00000000" w14:paraId="00000133">
      <w:pPr>
        <w:spacing w:after="0" w:line="240" w:lineRule="auto"/>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134">
      <w:pPr>
        <w:spacing w:after="0" w:line="240" w:lineRule="auto"/>
        <w:ind w:left="708.6614173228347" w:firstLine="0"/>
        <w:jc w:val="center"/>
        <w:rPr>
          <w:rFonts w:ascii="Arial" w:cs="Arial" w:eastAsia="Arial" w:hAnsi="Arial"/>
          <w:b w:val="1"/>
          <w:color w:val="4472c4"/>
          <w:sz w:val="20"/>
          <w:szCs w:val="20"/>
        </w:rPr>
      </w:pPr>
      <w:r w:rsidDel="00000000" w:rsidR="00000000" w:rsidRPr="00000000">
        <w:rPr>
          <w:rFonts w:ascii="Arial" w:cs="Arial" w:eastAsia="Arial" w:hAnsi="Arial"/>
          <w:b w:val="1"/>
          <w:color w:val="4472c4"/>
          <w:sz w:val="20"/>
          <w:szCs w:val="20"/>
          <w:rtl w:val="0"/>
        </w:rPr>
        <w:t xml:space="preserve">Tabla 7. Seguimiento de rubro y meta de Austeridad del Gasto Público – Gastos no elegibles- transporte</w:t>
      </w:r>
    </w:p>
    <w:p w:rsidR="00000000" w:rsidDel="00000000" w:rsidP="00000000" w:rsidRDefault="00000000" w:rsidRPr="00000000" w14:paraId="00000135">
      <w:pPr>
        <w:spacing w:after="0" w:line="240" w:lineRule="auto"/>
        <w:rPr>
          <w:rFonts w:ascii="Arial" w:cs="Arial" w:eastAsia="Arial" w:hAnsi="Arial"/>
          <w:b w:val="1"/>
          <w:color w:val="4472c4"/>
          <w:sz w:val="20"/>
          <w:szCs w:val="20"/>
        </w:rPr>
      </w:pPr>
      <w:r w:rsidDel="00000000" w:rsidR="00000000" w:rsidRPr="00000000">
        <w:rPr>
          <w:rtl w:val="0"/>
        </w:rPr>
      </w:r>
    </w:p>
    <w:tbl>
      <w:tblPr>
        <w:tblStyle w:val="Table7"/>
        <w:tblW w:w="79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5"/>
        <w:gridCol w:w="1170"/>
        <w:gridCol w:w="900"/>
        <w:gridCol w:w="1605"/>
        <w:gridCol w:w="1245"/>
        <w:gridCol w:w="1575"/>
        <w:tblGridChange w:id="0">
          <w:tblGrid>
            <w:gridCol w:w="1485"/>
            <w:gridCol w:w="1170"/>
            <w:gridCol w:w="900"/>
            <w:gridCol w:w="1605"/>
            <w:gridCol w:w="1245"/>
            <w:gridCol w:w="1575"/>
          </w:tblGrid>
        </w:tblGridChange>
      </w:tblGrid>
      <w:tr>
        <w:trPr>
          <w:cantSplit w:val="0"/>
          <w:trHeight w:val="577" w:hRule="atLeast"/>
          <w:tblHeader w:val="0"/>
        </w:trPr>
        <w:tc>
          <w:tcPr>
            <w:vMerge w:val="restart"/>
            <w:shd w:fill="b4c6e7" w:val="clear"/>
            <w:vAlign w:val="center"/>
          </w:tcPr>
          <w:p w:rsidR="00000000" w:rsidDel="00000000" w:rsidP="00000000" w:rsidRDefault="00000000" w:rsidRPr="00000000" w14:paraId="00000136">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Rubro</w:t>
            </w:r>
          </w:p>
        </w:tc>
        <w:tc>
          <w:tcPr>
            <w:vMerge w:val="restart"/>
            <w:shd w:fill="b4c6e7" w:val="clear"/>
            <w:vAlign w:val="center"/>
          </w:tcPr>
          <w:p w:rsidR="00000000" w:rsidDel="00000000" w:rsidP="00000000" w:rsidRDefault="00000000" w:rsidRPr="00000000" w14:paraId="00000137">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Unidad de medida</w:t>
            </w:r>
          </w:p>
        </w:tc>
        <w:tc>
          <w:tcPr>
            <w:gridSpan w:val="2"/>
            <w:shd w:fill="b4c6e7" w:val="clear"/>
            <w:vAlign w:val="center"/>
          </w:tcPr>
          <w:p w:rsidR="00000000" w:rsidDel="00000000" w:rsidP="00000000" w:rsidRDefault="00000000" w:rsidRPr="00000000" w14:paraId="00000138">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2023</w:t>
            </w:r>
          </w:p>
        </w:tc>
        <w:tc>
          <w:tcPr>
            <w:gridSpan w:val="2"/>
            <w:shd w:fill="c6e0b4" w:val="clear"/>
            <w:vAlign w:val="center"/>
          </w:tcPr>
          <w:p w:rsidR="00000000" w:rsidDel="00000000" w:rsidP="00000000" w:rsidRDefault="00000000" w:rsidRPr="00000000" w14:paraId="0000013A">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2024</w:t>
            </w:r>
          </w:p>
        </w:tc>
      </w:tr>
      <w:tr>
        <w:trPr>
          <w:cantSplit w:val="0"/>
          <w:trHeight w:val="499" w:hRule="atLeast"/>
          <w:tblHeader w:val="0"/>
        </w:trPr>
        <w:tc>
          <w:tcPr>
            <w:vMerge w:val="continue"/>
            <w:shd w:fill="b4c6e7" w:val="cle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bottom w:color="000000" w:space="0" w:sz="4" w:val="single"/>
            </w:tcBorders>
            <w:shd w:fill="b4c6e7" w:val="clear"/>
            <w:vAlign w:val="center"/>
          </w:tcPr>
          <w:p w:rsidR="00000000" w:rsidDel="00000000" w:rsidP="00000000" w:rsidRDefault="00000000" w:rsidRPr="00000000" w14:paraId="0000013E">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tcBorders>
              <w:bottom w:color="000000" w:space="0" w:sz="4" w:val="single"/>
            </w:tcBorders>
            <w:shd w:fill="b4c6e7" w:val="clear"/>
            <w:vAlign w:val="center"/>
          </w:tcPr>
          <w:p w:rsidR="00000000" w:rsidDel="00000000" w:rsidP="00000000" w:rsidRDefault="00000000" w:rsidRPr="00000000" w14:paraId="0000013F">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c>
          <w:tcPr>
            <w:tcBorders>
              <w:bottom w:color="000000" w:space="0" w:sz="4" w:val="single"/>
            </w:tcBorders>
            <w:shd w:fill="c6e0b4" w:val="clear"/>
            <w:vAlign w:val="center"/>
          </w:tcPr>
          <w:p w:rsidR="00000000" w:rsidDel="00000000" w:rsidP="00000000" w:rsidRDefault="00000000" w:rsidRPr="00000000" w14:paraId="00000140">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tcBorders>
              <w:bottom w:color="000000" w:space="0" w:sz="4" w:val="single"/>
            </w:tcBorders>
            <w:shd w:fill="c6e0b4" w:val="clear"/>
            <w:vAlign w:val="center"/>
          </w:tcPr>
          <w:p w:rsidR="00000000" w:rsidDel="00000000" w:rsidP="00000000" w:rsidRDefault="00000000" w:rsidRPr="00000000" w14:paraId="00000141">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r>
      <w:tr>
        <w:trPr>
          <w:cantSplit w:val="0"/>
          <w:trHeight w:val="32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Servicios de transporte contratados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3">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servicios contratados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$262.305.077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$ 265.864.421</w:t>
            </w:r>
          </w:p>
        </w:tc>
      </w:tr>
    </w:tbl>
    <w:p w:rsidR="00000000" w:rsidDel="00000000" w:rsidP="00000000" w:rsidRDefault="00000000" w:rsidRPr="00000000" w14:paraId="00000148">
      <w:pPr>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149">
      <w:pPr>
        <w:spacing w:line="276"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servicio de transporte contratado en la vigencia 2024 para las necesidades básicas de la entidad, en número de unidades como en la asignación presupuestal da cumplimiento a las medidas de austeridad y eficiencia del gasto público, propuestas por la entidad, su incremento porcentual no supera las metas establecidas para tal fin.</w:t>
      </w:r>
    </w:p>
    <w:p w:rsidR="00000000" w:rsidDel="00000000" w:rsidP="00000000" w:rsidRDefault="00000000" w:rsidRPr="00000000" w14:paraId="0000014A">
      <w:pPr>
        <w:numPr>
          <w:ilvl w:val="0"/>
          <w:numId w:val="6"/>
        </w:numPr>
        <w:spacing w:after="0" w:line="240" w:lineRule="auto"/>
        <w:ind w:left="786"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Fotocopiado, multicopiado e impresión</w:t>
      </w:r>
    </w:p>
    <w:p w:rsidR="00000000" w:rsidDel="00000000" w:rsidP="00000000" w:rsidRDefault="00000000" w:rsidRPr="00000000" w14:paraId="0000014B">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C">
      <w:pPr>
        <w:spacing w:after="0" w:line="240" w:lineRule="auto"/>
        <w:ind w:left="566.9291338582675" w:firstLine="0"/>
        <w:jc w:val="center"/>
        <w:rPr>
          <w:rFonts w:ascii="Arial" w:cs="Arial" w:eastAsia="Arial" w:hAnsi="Arial"/>
          <w:b w:val="1"/>
          <w:color w:val="4472c4"/>
          <w:sz w:val="20"/>
          <w:szCs w:val="20"/>
        </w:rPr>
      </w:pPr>
      <w:r w:rsidDel="00000000" w:rsidR="00000000" w:rsidRPr="00000000">
        <w:rPr>
          <w:rFonts w:ascii="Arial" w:cs="Arial" w:eastAsia="Arial" w:hAnsi="Arial"/>
          <w:b w:val="1"/>
          <w:color w:val="4472c4"/>
          <w:sz w:val="20"/>
          <w:szCs w:val="20"/>
          <w:rtl w:val="0"/>
        </w:rPr>
        <w:t xml:space="preserve">Tabla 8. Seguimiento de rubro y meta de Austeridad del Gasto Público – Gastos no elegibles- Impresiones y fotocopiados</w:t>
      </w:r>
    </w:p>
    <w:p w:rsidR="00000000" w:rsidDel="00000000" w:rsidP="00000000" w:rsidRDefault="00000000" w:rsidRPr="00000000" w14:paraId="0000014D">
      <w:pPr>
        <w:spacing w:after="0" w:line="240" w:lineRule="auto"/>
        <w:rPr>
          <w:rFonts w:ascii="Arial" w:cs="Arial" w:eastAsia="Arial" w:hAnsi="Arial"/>
          <w:b w:val="1"/>
          <w:color w:val="4472c4"/>
          <w:sz w:val="20"/>
          <w:szCs w:val="20"/>
        </w:rPr>
      </w:pPr>
      <w:r w:rsidDel="00000000" w:rsidR="00000000" w:rsidRPr="00000000">
        <w:rPr>
          <w:rtl w:val="0"/>
        </w:rPr>
      </w:r>
    </w:p>
    <w:tbl>
      <w:tblPr>
        <w:tblStyle w:val="Table8"/>
        <w:tblW w:w="79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1350"/>
        <w:gridCol w:w="915"/>
        <w:gridCol w:w="1605"/>
        <w:gridCol w:w="1410"/>
        <w:gridCol w:w="1410"/>
        <w:tblGridChange w:id="0">
          <w:tblGrid>
            <w:gridCol w:w="1260"/>
            <w:gridCol w:w="1350"/>
            <w:gridCol w:w="915"/>
            <w:gridCol w:w="1605"/>
            <w:gridCol w:w="1410"/>
            <w:gridCol w:w="1410"/>
          </w:tblGrid>
        </w:tblGridChange>
      </w:tblGrid>
      <w:tr>
        <w:trPr>
          <w:cantSplit w:val="0"/>
          <w:trHeight w:val="577" w:hRule="atLeast"/>
          <w:tblHeader w:val="0"/>
        </w:trPr>
        <w:tc>
          <w:tcPr>
            <w:vMerge w:val="restart"/>
            <w:shd w:fill="b4c6e7" w:val="clear"/>
            <w:vAlign w:val="center"/>
          </w:tcPr>
          <w:p w:rsidR="00000000" w:rsidDel="00000000" w:rsidP="00000000" w:rsidRDefault="00000000" w:rsidRPr="00000000" w14:paraId="0000014E">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Rubro</w:t>
            </w:r>
          </w:p>
        </w:tc>
        <w:tc>
          <w:tcPr>
            <w:vMerge w:val="restart"/>
            <w:shd w:fill="b4c6e7" w:val="clear"/>
            <w:vAlign w:val="center"/>
          </w:tcPr>
          <w:p w:rsidR="00000000" w:rsidDel="00000000" w:rsidP="00000000" w:rsidRDefault="00000000" w:rsidRPr="00000000" w14:paraId="0000014F">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Unidad de medida</w:t>
            </w:r>
          </w:p>
        </w:tc>
        <w:tc>
          <w:tcPr>
            <w:gridSpan w:val="2"/>
            <w:shd w:fill="b4c6e7" w:val="clear"/>
            <w:vAlign w:val="center"/>
          </w:tcPr>
          <w:p w:rsidR="00000000" w:rsidDel="00000000" w:rsidP="00000000" w:rsidRDefault="00000000" w:rsidRPr="00000000" w14:paraId="00000150">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2023</w:t>
            </w:r>
          </w:p>
        </w:tc>
        <w:tc>
          <w:tcPr>
            <w:gridSpan w:val="2"/>
            <w:shd w:fill="c6e0b4" w:val="clear"/>
            <w:vAlign w:val="center"/>
          </w:tcPr>
          <w:p w:rsidR="00000000" w:rsidDel="00000000" w:rsidP="00000000" w:rsidRDefault="00000000" w:rsidRPr="00000000" w14:paraId="00000152">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2024</w:t>
            </w:r>
          </w:p>
        </w:tc>
      </w:tr>
      <w:tr>
        <w:trPr>
          <w:cantSplit w:val="0"/>
          <w:trHeight w:val="499" w:hRule="atLeast"/>
          <w:tblHeader w:val="0"/>
        </w:trPr>
        <w:tc>
          <w:tcPr>
            <w:vMerge w:val="continue"/>
            <w:shd w:fill="b4c6e7" w:val="cle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bottom w:color="000000" w:space="0" w:sz="4" w:val="single"/>
            </w:tcBorders>
            <w:shd w:fill="b4c6e7" w:val="clear"/>
            <w:vAlign w:val="center"/>
          </w:tcPr>
          <w:p w:rsidR="00000000" w:rsidDel="00000000" w:rsidP="00000000" w:rsidRDefault="00000000" w:rsidRPr="00000000" w14:paraId="00000156">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tcBorders>
              <w:bottom w:color="000000" w:space="0" w:sz="4" w:val="single"/>
            </w:tcBorders>
            <w:shd w:fill="b4c6e7" w:val="clear"/>
            <w:vAlign w:val="center"/>
          </w:tcPr>
          <w:p w:rsidR="00000000" w:rsidDel="00000000" w:rsidP="00000000" w:rsidRDefault="00000000" w:rsidRPr="00000000" w14:paraId="00000157">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c>
          <w:tcPr>
            <w:tcBorders>
              <w:bottom w:color="000000" w:space="0" w:sz="4" w:val="single"/>
            </w:tcBorders>
            <w:shd w:fill="c6e0b4" w:val="clear"/>
            <w:vAlign w:val="center"/>
          </w:tcPr>
          <w:p w:rsidR="00000000" w:rsidDel="00000000" w:rsidP="00000000" w:rsidRDefault="00000000" w:rsidRPr="00000000" w14:paraId="00000158">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tcBorders>
              <w:bottom w:color="000000" w:space="0" w:sz="4" w:val="single"/>
            </w:tcBorders>
            <w:shd w:fill="c6e0b4" w:val="clear"/>
            <w:vAlign w:val="center"/>
          </w:tcPr>
          <w:p w:rsidR="00000000" w:rsidDel="00000000" w:rsidP="00000000" w:rsidRDefault="00000000" w:rsidRPr="00000000" w14:paraId="00000159">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r>
      <w:tr>
        <w:trPr>
          <w:cantSplit w:val="0"/>
          <w:trHeight w:val="32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Impresión </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servicios contratados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9.603</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1.307.240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5.142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$ 799.530</w:t>
            </w:r>
          </w:p>
        </w:tc>
      </w:tr>
      <w:tr>
        <w:trPr>
          <w:cantSplit w:val="0"/>
          <w:trHeight w:val="32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Fotocopiado</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1.473</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$ 229.037</w:t>
            </w:r>
          </w:p>
        </w:tc>
      </w:tr>
    </w:tbl>
    <w:p w:rsidR="00000000" w:rsidDel="00000000" w:rsidP="00000000" w:rsidRDefault="00000000" w:rsidRPr="00000000" w14:paraId="00000166">
      <w:pPr>
        <w:spacing w:after="240" w:before="240" w:line="240" w:lineRule="auto"/>
        <w:ind w:left="426" w:firstLine="0"/>
        <w:jc w:val="both"/>
        <w:rPr>
          <w:rFonts w:ascii="Arial" w:cs="Arial" w:eastAsia="Arial" w:hAnsi="Arial"/>
          <w:b w:val="1"/>
          <w:color w:val="c00000"/>
          <w:sz w:val="20"/>
          <w:szCs w:val="20"/>
        </w:rPr>
      </w:pPr>
      <w:r w:rsidDel="00000000" w:rsidR="00000000" w:rsidRPr="00000000">
        <w:rPr>
          <w:rFonts w:ascii="Arial" w:cs="Arial" w:eastAsia="Arial" w:hAnsi="Arial"/>
          <w:sz w:val="20"/>
          <w:szCs w:val="20"/>
          <w:rtl w:val="0"/>
        </w:rPr>
        <w:t xml:space="preserve">Durante la vigencia 2024 no se realizó la compra de resmas de papel, promoviendo la disminución del consumo, aplicando estrategias orientadas a la optimización de recursos, tales como campañas de recolección de elementos de papelería subutilizados, estrategia “cero papel”, implementación códigos personalizados de impresoras y apropiación herramienta ORFEO. Estas acciones han permitido la reducción de costos, así como aporte a la sostenibilidad y eficiencia en el uso de recursos dentro de la organización, generando un ahorro equivalente al 39% en el indicador de austeridad frente al periodo anterior.</w:t>
      </w:r>
      <w:r w:rsidDel="00000000" w:rsidR="00000000" w:rsidRPr="00000000">
        <w:rPr>
          <w:rtl w:val="0"/>
        </w:rPr>
      </w:r>
    </w:p>
    <w:p w:rsidR="00000000" w:rsidDel="00000000" w:rsidP="00000000" w:rsidRDefault="00000000" w:rsidRPr="00000000" w14:paraId="00000167">
      <w:pPr>
        <w:numPr>
          <w:ilvl w:val="0"/>
          <w:numId w:val="6"/>
        </w:numPr>
        <w:spacing w:after="0" w:line="240" w:lineRule="auto"/>
        <w:ind w:left="786"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Suscripciones (periódicos y revistas, publicaciones y bases de datos)</w:t>
      </w:r>
    </w:p>
    <w:p w:rsidR="00000000" w:rsidDel="00000000" w:rsidP="00000000" w:rsidRDefault="00000000" w:rsidRPr="00000000" w14:paraId="00000168">
      <w:pPr>
        <w:spacing w:after="0" w:line="240" w:lineRule="auto"/>
        <w:ind w:left="720" w:firstLine="0"/>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169">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FUGA durante el periodo reportado no cuenta con contratos vigentes cuyo objeto corresponda a la edición, impresión o publicación de documentos.</w:t>
      </w:r>
    </w:p>
    <w:p w:rsidR="00000000" w:rsidDel="00000000" w:rsidP="00000000" w:rsidRDefault="00000000" w:rsidRPr="00000000" w14:paraId="0000016A">
      <w:pPr>
        <w:spacing w:after="0" w:line="240" w:lineRule="auto"/>
        <w:ind w:left="78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B">
      <w:pPr>
        <w:spacing w:after="0" w:line="240" w:lineRule="auto"/>
        <w:ind w:left="78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C">
      <w:pPr>
        <w:spacing w:after="0" w:line="240" w:lineRule="auto"/>
        <w:ind w:left="78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D">
      <w:pPr>
        <w:spacing w:after="0" w:line="240" w:lineRule="auto"/>
        <w:ind w:left="78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spacing w:after="0" w:line="240" w:lineRule="auto"/>
        <w:ind w:left="78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spacing w:after="0" w:line="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numPr>
          <w:ilvl w:val="0"/>
          <w:numId w:val="6"/>
        </w:numPr>
        <w:spacing w:after="0" w:line="240" w:lineRule="auto"/>
        <w:ind w:left="786"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Servicios públicos: Agua</w:t>
      </w:r>
    </w:p>
    <w:p w:rsidR="00000000" w:rsidDel="00000000" w:rsidP="00000000" w:rsidRDefault="00000000" w:rsidRPr="00000000" w14:paraId="00000171">
      <w:pPr>
        <w:spacing w:after="0" w:line="240" w:lineRule="auto"/>
        <w:ind w:left="786" w:firstLine="0"/>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172">
      <w:pPr>
        <w:spacing w:after="0" w:line="240" w:lineRule="auto"/>
        <w:ind w:left="425.19685039370086" w:firstLine="0"/>
        <w:jc w:val="center"/>
        <w:rPr>
          <w:rFonts w:ascii="Arial" w:cs="Arial" w:eastAsia="Arial" w:hAnsi="Arial"/>
          <w:b w:val="1"/>
          <w:color w:val="4472c4"/>
          <w:sz w:val="20"/>
          <w:szCs w:val="20"/>
        </w:rPr>
      </w:pPr>
      <w:r w:rsidDel="00000000" w:rsidR="00000000" w:rsidRPr="00000000">
        <w:rPr>
          <w:rFonts w:ascii="Arial" w:cs="Arial" w:eastAsia="Arial" w:hAnsi="Arial"/>
          <w:b w:val="1"/>
          <w:color w:val="4472c4"/>
          <w:sz w:val="20"/>
          <w:szCs w:val="20"/>
          <w:rtl w:val="0"/>
        </w:rPr>
        <w:t xml:space="preserve">Tabla 9. Seguimiento de rubro y meta de Austeridad del Gasto Público – Gastos no elegibles- Servicios públicos - Agua</w:t>
      </w:r>
    </w:p>
    <w:p w:rsidR="00000000" w:rsidDel="00000000" w:rsidP="00000000" w:rsidRDefault="00000000" w:rsidRPr="00000000" w14:paraId="00000173">
      <w:pPr>
        <w:spacing w:after="0" w:line="240" w:lineRule="auto"/>
        <w:rPr>
          <w:rFonts w:ascii="Arial" w:cs="Arial" w:eastAsia="Arial" w:hAnsi="Arial"/>
          <w:b w:val="1"/>
          <w:color w:val="4472c4"/>
          <w:sz w:val="20"/>
          <w:szCs w:val="20"/>
        </w:rPr>
      </w:pPr>
      <w:r w:rsidDel="00000000" w:rsidR="00000000" w:rsidRPr="00000000">
        <w:rPr>
          <w:rtl w:val="0"/>
        </w:rPr>
      </w:r>
    </w:p>
    <w:tbl>
      <w:tblPr>
        <w:tblStyle w:val="Table9"/>
        <w:tblW w:w="81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5"/>
        <w:gridCol w:w="1110"/>
        <w:gridCol w:w="870"/>
        <w:gridCol w:w="1530"/>
        <w:gridCol w:w="870"/>
        <w:gridCol w:w="2370"/>
        <w:tblGridChange w:id="0">
          <w:tblGrid>
            <w:gridCol w:w="1395"/>
            <w:gridCol w:w="1110"/>
            <w:gridCol w:w="870"/>
            <w:gridCol w:w="1530"/>
            <w:gridCol w:w="870"/>
            <w:gridCol w:w="2370"/>
          </w:tblGrid>
        </w:tblGridChange>
      </w:tblGrid>
      <w:tr>
        <w:trPr>
          <w:cantSplit w:val="0"/>
          <w:trHeight w:val="577" w:hRule="atLeast"/>
          <w:tblHeader w:val="0"/>
        </w:trPr>
        <w:tc>
          <w:tcPr>
            <w:vMerge w:val="restart"/>
            <w:shd w:fill="b4c6e7" w:val="clear"/>
            <w:vAlign w:val="center"/>
          </w:tcPr>
          <w:p w:rsidR="00000000" w:rsidDel="00000000" w:rsidP="00000000" w:rsidRDefault="00000000" w:rsidRPr="00000000" w14:paraId="00000174">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Rubro</w:t>
            </w:r>
          </w:p>
        </w:tc>
        <w:tc>
          <w:tcPr>
            <w:vMerge w:val="restart"/>
            <w:shd w:fill="b4c6e7" w:val="clear"/>
            <w:vAlign w:val="center"/>
          </w:tcPr>
          <w:p w:rsidR="00000000" w:rsidDel="00000000" w:rsidP="00000000" w:rsidRDefault="00000000" w:rsidRPr="00000000" w14:paraId="00000175">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Unidad de medida</w:t>
            </w:r>
          </w:p>
        </w:tc>
        <w:tc>
          <w:tcPr>
            <w:gridSpan w:val="2"/>
            <w:shd w:fill="b4c6e7" w:val="clear"/>
            <w:vAlign w:val="center"/>
          </w:tcPr>
          <w:p w:rsidR="00000000" w:rsidDel="00000000" w:rsidP="00000000" w:rsidRDefault="00000000" w:rsidRPr="00000000" w14:paraId="00000176">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2023</w:t>
            </w:r>
          </w:p>
        </w:tc>
        <w:tc>
          <w:tcPr>
            <w:gridSpan w:val="2"/>
            <w:shd w:fill="c6e0b4" w:val="clear"/>
            <w:vAlign w:val="center"/>
          </w:tcPr>
          <w:p w:rsidR="00000000" w:rsidDel="00000000" w:rsidP="00000000" w:rsidRDefault="00000000" w:rsidRPr="00000000" w14:paraId="00000178">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2024</w:t>
            </w:r>
          </w:p>
        </w:tc>
      </w:tr>
      <w:tr>
        <w:trPr>
          <w:cantSplit w:val="0"/>
          <w:trHeight w:val="499" w:hRule="atLeast"/>
          <w:tblHeader w:val="0"/>
        </w:trPr>
        <w:tc>
          <w:tcPr>
            <w:vMerge w:val="continue"/>
            <w:shd w:fill="b4c6e7" w:val="clea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bottom w:color="000000" w:space="0" w:sz="4" w:val="single"/>
            </w:tcBorders>
            <w:shd w:fill="b4c6e7" w:val="clear"/>
            <w:vAlign w:val="center"/>
          </w:tcPr>
          <w:p w:rsidR="00000000" w:rsidDel="00000000" w:rsidP="00000000" w:rsidRDefault="00000000" w:rsidRPr="00000000" w14:paraId="0000017C">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tcBorders>
              <w:bottom w:color="000000" w:space="0" w:sz="4" w:val="single"/>
            </w:tcBorders>
            <w:shd w:fill="b4c6e7" w:val="clear"/>
            <w:vAlign w:val="center"/>
          </w:tcPr>
          <w:p w:rsidR="00000000" w:rsidDel="00000000" w:rsidP="00000000" w:rsidRDefault="00000000" w:rsidRPr="00000000" w14:paraId="0000017D">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c>
          <w:tcPr>
            <w:tcBorders>
              <w:bottom w:color="000000" w:space="0" w:sz="4" w:val="single"/>
            </w:tcBorders>
            <w:shd w:fill="c6e0b4" w:val="clear"/>
            <w:vAlign w:val="center"/>
          </w:tcPr>
          <w:p w:rsidR="00000000" w:rsidDel="00000000" w:rsidP="00000000" w:rsidRDefault="00000000" w:rsidRPr="00000000" w14:paraId="0000017E">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tcBorders>
              <w:bottom w:color="000000" w:space="0" w:sz="4" w:val="single"/>
            </w:tcBorders>
            <w:shd w:fill="c6e0b4" w:val="clear"/>
            <w:vAlign w:val="center"/>
          </w:tcPr>
          <w:p w:rsidR="00000000" w:rsidDel="00000000" w:rsidP="00000000" w:rsidRDefault="00000000" w:rsidRPr="00000000" w14:paraId="0000017F">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r>
      <w:tr>
        <w:trPr>
          <w:cantSplit w:val="0"/>
          <w:trHeight w:val="32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0">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Agua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1">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2">
            <w:pPr>
              <w:widowControl w:val="0"/>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929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3">
            <w:pPr>
              <w:widowControl w:val="0"/>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7.018.169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4">
            <w:pPr>
              <w:widowControl w:val="0"/>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2.190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5">
            <w:pPr>
              <w:widowControl w:val="0"/>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$ 16.236.530</w:t>
            </w:r>
          </w:p>
        </w:tc>
      </w:tr>
    </w:tbl>
    <w:p w:rsidR="00000000" w:rsidDel="00000000" w:rsidP="00000000" w:rsidRDefault="00000000" w:rsidRPr="00000000" w14:paraId="00000186">
      <w:pPr>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187">
      <w:pPr>
        <w:spacing w:line="276" w:lineRule="auto"/>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 el propósito de enriquecer la vida cultural del centro de la capital, la FUGA amplió su oferta artística en el escenario El Muelle, albergando así una mayor cantidad de eventos, como talleres, franjas culturales y artísticas, conversatorios, conciertos y conferencias, lo que ha contribuido significativamente al uso más intensivo de las instalaciones y, por ende, al mayor consumo de agua.</w:t>
      </w:r>
    </w:p>
    <w:p w:rsidR="00000000" w:rsidDel="00000000" w:rsidP="00000000" w:rsidRDefault="00000000" w:rsidRPr="00000000" w14:paraId="00000188">
      <w:pPr>
        <w:spacing w:line="276" w:lineRule="auto"/>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 respecto es importante señalar que, la entidad está comprometida con la sostenibilidad y el cuidado del medio ambiente. Por lo tanto, se están implementando medidas para reducir el consumo de agua y minimizar el impacto ambiental, como:</w:t>
      </w:r>
    </w:p>
    <w:p w:rsidR="00000000" w:rsidDel="00000000" w:rsidP="00000000" w:rsidRDefault="00000000" w:rsidRPr="00000000" w14:paraId="000001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implementación de procesos de reciclaje de agua lluvia</w:t>
      </w:r>
    </w:p>
    <w:p w:rsidR="00000000" w:rsidDel="00000000" w:rsidP="00000000" w:rsidRDefault="00000000" w:rsidRPr="00000000" w14:paraId="000001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concienciación y educación a los colaboradores sobre la importancia del ahorro de agua yde cada uno de los programas del PIGA</w:t>
      </w:r>
    </w:p>
    <w:p w:rsidR="00000000" w:rsidDel="00000000" w:rsidP="00000000" w:rsidRDefault="00000000" w:rsidRPr="00000000" w14:paraId="0000018B">
      <w:pPr>
        <w:numPr>
          <w:ilvl w:val="0"/>
          <w:numId w:val="7"/>
        </w:numPr>
        <w:tabs>
          <w:tab w:val="center" w:leader="none" w:pos="4419"/>
          <w:tab w:val="right" w:leader="none" w:pos="8838"/>
        </w:tabs>
        <w:spacing w:after="0" w:line="240" w:lineRule="auto"/>
        <w:ind w:left="720" w:hanging="360"/>
        <w:jc w:val="both"/>
        <w:rPr>
          <w:sz w:val="20"/>
          <w:szCs w:val="20"/>
        </w:rPr>
      </w:pPr>
      <w:r w:rsidDel="00000000" w:rsidR="00000000" w:rsidRPr="00000000">
        <w:rPr>
          <w:rFonts w:ascii="Arial" w:cs="Arial" w:eastAsia="Arial" w:hAnsi="Arial"/>
          <w:sz w:val="20"/>
          <w:szCs w:val="20"/>
          <w:rtl w:val="0"/>
        </w:rPr>
        <w:t xml:space="preserve"> Se realizan campañas de sensibilización a los colaboradores en el uso de transportes alternativos como bicicleta, patineta, vehículos híbridos.</w:t>
      </w:r>
    </w:p>
    <w:p w:rsidR="00000000" w:rsidDel="00000000" w:rsidP="00000000" w:rsidRDefault="00000000" w:rsidRPr="00000000" w14:paraId="0000018C">
      <w:pPr>
        <w:numPr>
          <w:ilvl w:val="0"/>
          <w:numId w:val="7"/>
        </w:numPr>
        <w:tabs>
          <w:tab w:val="center" w:leader="none" w:pos="4419"/>
          <w:tab w:val="right" w:leader="none" w:pos="8838"/>
        </w:tabs>
        <w:spacing w:after="0" w:line="240" w:lineRule="auto"/>
        <w:ind w:left="720" w:hanging="360"/>
        <w:jc w:val="both"/>
        <w:rPr>
          <w:sz w:val="20"/>
          <w:szCs w:val="20"/>
        </w:rPr>
      </w:pPr>
      <w:r w:rsidDel="00000000" w:rsidR="00000000" w:rsidRPr="00000000">
        <w:rPr>
          <w:rFonts w:ascii="Arial" w:cs="Arial" w:eastAsia="Arial" w:hAnsi="Arial"/>
          <w:sz w:val="20"/>
          <w:szCs w:val="20"/>
          <w:rtl w:val="0"/>
        </w:rPr>
        <w:t xml:space="preserve"> Se realizan mantenimientos preventivos a las instalaciones hidráulicas, sanitarias y eléctricas, a fin de evitar desperdicios.</w:t>
      </w:r>
    </w:p>
    <w:p w:rsidR="00000000" w:rsidDel="00000000" w:rsidP="00000000" w:rsidRDefault="00000000" w:rsidRPr="00000000" w14:paraId="0000018D">
      <w:pPr>
        <w:numPr>
          <w:ilvl w:val="0"/>
          <w:numId w:val="7"/>
        </w:numPr>
        <w:tabs>
          <w:tab w:val="center" w:leader="none" w:pos="4419"/>
          <w:tab w:val="right" w:leader="none" w:pos="8838"/>
        </w:tabs>
        <w:spacing w:after="0" w:line="240" w:lineRule="auto"/>
        <w:ind w:left="720" w:hanging="360"/>
        <w:jc w:val="both"/>
        <w:rPr>
          <w:sz w:val="20"/>
          <w:szCs w:val="20"/>
        </w:rPr>
      </w:pPr>
      <w:r w:rsidDel="00000000" w:rsidR="00000000" w:rsidRPr="00000000">
        <w:rPr>
          <w:rFonts w:ascii="Arial" w:cs="Arial" w:eastAsia="Arial" w:hAnsi="Arial"/>
          <w:sz w:val="20"/>
          <w:szCs w:val="20"/>
          <w:rtl w:val="0"/>
        </w:rPr>
        <w:t xml:space="preserve"> Se realizan campañas de sensibilización para el uso eficiente de los recursos así mismo, se llevan controles sobre el consumo de los servicios públicos.</w:t>
      </w:r>
    </w:p>
    <w:p w:rsidR="00000000" w:rsidDel="00000000" w:rsidP="00000000" w:rsidRDefault="00000000" w:rsidRPr="00000000" w14:paraId="0000018E">
      <w:pPr>
        <w:numPr>
          <w:ilvl w:val="0"/>
          <w:numId w:val="7"/>
        </w:numPr>
        <w:tabs>
          <w:tab w:val="center" w:leader="none" w:pos="4419"/>
          <w:tab w:val="right" w:leader="none" w:pos="8838"/>
        </w:tabs>
        <w:spacing w:after="0" w:line="240" w:lineRule="auto"/>
        <w:ind w:left="720" w:hanging="360"/>
        <w:jc w:val="both"/>
        <w:rPr>
          <w:sz w:val="20"/>
          <w:szCs w:val="20"/>
        </w:rPr>
      </w:pPr>
      <w:r w:rsidDel="00000000" w:rsidR="00000000" w:rsidRPr="00000000">
        <w:rPr>
          <w:rFonts w:ascii="Arial" w:cs="Arial" w:eastAsia="Arial" w:hAnsi="Arial"/>
          <w:sz w:val="20"/>
          <w:szCs w:val="20"/>
          <w:rtl w:val="0"/>
        </w:rPr>
        <w:t xml:space="preserve"> Se fortalece el sistema Orfeo para dar continuidad a la estrategia Cero Papel, implementada en la entidad en 2020.</w:t>
      </w:r>
    </w:p>
    <w:p w:rsidR="00000000" w:rsidDel="00000000" w:rsidP="00000000" w:rsidRDefault="00000000" w:rsidRPr="00000000" w14:paraId="0000018F">
      <w:pPr>
        <w:tabs>
          <w:tab w:val="center" w:leader="none" w:pos="4419"/>
          <w:tab w:val="right" w:leader="none" w:pos="8838"/>
        </w:tabs>
        <w:spacing w:after="0" w:line="24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spacing w:after="0" w:line="240" w:lineRule="auto"/>
        <w:ind w:left="425.19685039370086" w:firstLine="0"/>
        <w:jc w:val="center"/>
        <w:rPr>
          <w:rFonts w:ascii="Arial" w:cs="Arial" w:eastAsia="Arial" w:hAnsi="Arial"/>
          <w:b w:val="1"/>
          <w:color w:val="4472c4"/>
          <w:sz w:val="20"/>
          <w:szCs w:val="20"/>
        </w:rPr>
      </w:pPr>
      <w:r w:rsidDel="00000000" w:rsidR="00000000" w:rsidRPr="00000000">
        <w:rPr>
          <w:rtl w:val="0"/>
        </w:rPr>
      </w:r>
    </w:p>
    <w:p w:rsidR="00000000" w:rsidDel="00000000" w:rsidP="00000000" w:rsidRDefault="00000000" w:rsidRPr="00000000" w14:paraId="00000191">
      <w:pPr>
        <w:numPr>
          <w:ilvl w:val="0"/>
          <w:numId w:val="6"/>
        </w:numPr>
        <w:spacing w:after="0" w:line="240" w:lineRule="auto"/>
        <w:ind w:left="786"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Servicios públicos: Gas</w:t>
      </w:r>
      <w:r w:rsidDel="00000000" w:rsidR="00000000" w:rsidRPr="00000000">
        <w:rPr>
          <w:rtl w:val="0"/>
        </w:rPr>
      </w:r>
    </w:p>
    <w:p w:rsidR="00000000" w:rsidDel="00000000" w:rsidP="00000000" w:rsidRDefault="00000000" w:rsidRPr="00000000" w14:paraId="00000192">
      <w:pPr>
        <w:spacing w:after="0" w:line="240" w:lineRule="auto"/>
        <w:ind w:left="0" w:firstLine="0"/>
        <w:jc w:val="left"/>
        <w:rPr>
          <w:rFonts w:ascii="Arial" w:cs="Arial" w:eastAsia="Arial" w:hAnsi="Arial"/>
          <w:b w:val="1"/>
          <w:color w:val="4472c4"/>
          <w:sz w:val="20"/>
          <w:szCs w:val="20"/>
        </w:rPr>
      </w:pPr>
      <w:r w:rsidDel="00000000" w:rsidR="00000000" w:rsidRPr="00000000">
        <w:rPr>
          <w:rtl w:val="0"/>
        </w:rPr>
      </w:r>
    </w:p>
    <w:p w:rsidR="00000000" w:rsidDel="00000000" w:rsidP="00000000" w:rsidRDefault="00000000" w:rsidRPr="00000000" w14:paraId="00000193">
      <w:pPr>
        <w:spacing w:after="0" w:line="240" w:lineRule="auto"/>
        <w:ind w:left="425.19685039370086" w:firstLine="0"/>
        <w:jc w:val="center"/>
        <w:rPr>
          <w:rFonts w:ascii="Arial" w:cs="Arial" w:eastAsia="Arial" w:hAnsi="Arial"/>
          <w:b w:val="1"/>
          <w:color w:val="4472c4"/>
          <w:sz w:val="20"/>
          <w:szCs w:val="20"/>
        </w:rPr>
      </w:pPr>
      <w:r w:rsidDel="00000000" w:rsidR="00000000" w:rsidRPr="00000000">
        <w:rPr>
          <w:rFonts w:ascii="Arial" w:cs="Arial" w:eastAsia="Arial" w:hAnsi="Arial"/>
          <w:b w:val="1"/>
          <w:color w:val="4472c4"/>
          <w:sz w:val="20"/>
          <w:szCs w:val="20"/>
          <w:rtl w:val="0"/>
        </w:rPr>
        <w:t xml:space="preserve">Tabla 10. Seguimiento de rubro y meta de Austeridad del Gasto Público – Gastos no elegibles- Servicios públicos - Gas.</w:t>
      </w:r>
    </w:p>
    <w:p w:rsidR="00000000" w:rsidDel="00000000" w:rsidP="00000000" w:rsidRDefault="00000000" w:rsidRPr="00000000" w14:paraId="00000194">
      <w:pPr>
        <w:spacing w:after="0" w:line="240" w:lineRule="auto"/>
        <w:rPr>
          <w:rFonts w:ascii="Arial" w:cs="Arial" w:eastAsia="Arial" w:hAnsi="Arial"/>
          <w:b w:val="1"/>
          <w:color w:val="4472c4"/>
          <w:sz w:val="20"/>
          <w:szCs w:val="20"/>
        </w:rPr>
      </w:pPr>
      <w:r w:rsidDel="00000000" w:rsidR="00000000" w:rsidRPr="00000000">
        <w:rPr>
          <w:rtl w:val="0"/>
        </w:rPr>
      </w:r>
    </w:p>
    <w:tbl>
      <w:tblPr>
        <w:tblStyle w:val="Table10"/>
        <w:tblpPr w:leftFromText="180" w:rightFromText="180" w:topFromText="180" w:bottomFromText="180" w:vertAnchor="text" w:horzAnchor="text" w:tblpX="946.5000000000003" w:tblpY="11"/>
        <w:tblW w:w="7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900"/>
        <w:gridCol w:w="990"/>
        <w:gridCol w:w="960"/>
        <w:gridCol w:w="1260"/>
        <w:gridCol w:w="2490"/>
        <w:tblGridChange w:id="0">
          <w:tblGrid>
            <w:gridCol w:w="1140"/>
            <w:gridCol w:w="900"/>
            <w:gridCol w:w="990"/>
            <w:gridCol w:w="960"/>
            <w:gridCol w:w="1260"/>
            <w:gridCol w:w="2490"/>
          </w:tblGrid>
        </w:tblGridChange>
      </w:tblGrid>
      <w:tr>
        <w:trPr>
          <w:cantSplit w:val="0"/>
          <w:trHeight w:val="540" w:hRule="atLeast"/>
          <w:tblHeader w:val="0"/>
        </w:trPr>
        <w:tc>
          <w:tcPr>
            <w:vMerge w:val="restart"/>
            <w:shd w:fill="b4c6e7" w:val="clear"/>
            <w:vAlign w:val="center"/>
          </w:tcPr>
          <w:p w:rsidR="00000000" w:rsidDel="00000000" w:rsidP="00000000" w:rsidRDefault="00000000" w:rsidRPr="00000000" w14:paraId="00000195">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Rubro</w:t>
            </w:r>
          </w:p>
        </w:tc>
        <w:tc>
          <w:tcPr>
            <w:vMerge w:val="restart"/>
            <w:shd w:fill="b4c6e7" w:val="clear"/>
            <w:vAlign w:val="center"/>
          </w:tcPr>
          <w:p w:rsidR="00000000" w:rsidDel="00000000" w:rsidP="00000000" w:rsidRDefault="00000000" w:rsidRPr="00000000" w14:paraId="00000196">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Unidad de medida</w:t>
            </w:r>
          </w:p>
        </w:tc>
        <w:tc>
          <w:tcPr>
            <w:gridSpan w:val="2"/>
            <w:shd w:fill="b4c6e7" w:val="clear"/>
            <w:vAlign w:val="center"/>
          </w:tcPr>
          <w:p w:rsidR="00000000" w:rsidDel="00000000" w:rsidP="00000000" w:rsidRDefault="00000000" w:rsidRPr="00000000" w14:paraId="00000197">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2023</w:t>
            </w:r>
          </w:p>
        </w:tc>
        <w:tc>
          <w:tcPr>
            <w:gridSpan w:val="2"/>
            <w:shd w:fill="c6e0b4" w:val="clear"/>
            <w:vAlign w:val="center"/>
          </w:tcPr>
          <w:p w:rsidR="00000000" w:rsidDel="00000000" w:rsidP="00000000" w:rsidRDefault="00000000" w:rsidRPr="00000000" w14:paraId="00000199">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2024</w:t>
            </w:r>
          </w:p>
        </w:tc>
      </w:tr>
      <w:tr>
        <w:trPr>
          <w:cantSplit w:val="0"/>
          <w:trHeight w:val="529.921875" w:hRule="atLeast"/>
          <w:tblHeader w:val="0"/>
        </w:trPr>
        <w:tc>
          <w:tcPr>
            <w:vMerge w:val="continue"/>
            <w:shd w:fill="b4c6e7"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b4c6e7" w:val="clear"/>
            <w:vAlign w:val="center"/>
          </w:tcPr>
          <w:p w:rsidR="00000000" w:rsidDel="00000000" w:rsidP="00000000" w:rsidRDefault="00000000" w:rsidRPr="00000000" w14:paraId="0000019D">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shd w:fill="b4c6e7" w:val="clear"/>
            <w:vAlign w:val="center"/>
          </w:tcPr>
          <w:p w:rsidR="00000000" w:rsidDel="00000000" w:rsidP="00000000" w:rsidRDefault="00000000" w:rsidRPr="00000000" w14:paraId="0000019E">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c>
          <w:tcPr>
            <w:shd w:fill="c6e0b4" w:val="clear"/>
            <w:vAlign w:val="center"/>
          </w:tcPr>
          <w:p w:rsidR="00000000" w:rsidDel="00000000" w:rsidP="00000000" w:rsidRDefault="00000000" w:rsidRPr="00000000" w14:paraId="0000019F">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shd w:fill="c6e0b4" w:val="clear"/>
            <w:vAlign w:val="center"/>
          </w:tcPr>
          <w:p w:rsidR="00000000" w:rsidDel="00000000" w:rsidP="00000000" w:rsidRDefault="00000000" w:rsidRPr="00000000" w14:paraId="000001A0">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r>
      <w:tr>
        <w:trPr>
          <w:cantSplit w:val="0"/>
          <w:trHeight w:val="327" w:hRule="atLeast"/>
          <w:tblHeader w:val="0"/>
        </w:trPr>
        <w:tc>
          <w:tcPr>
            <w:vAlign w:val="center"/>
          </w:tcPr>
          <w:p w:rsidR="00000000" w:rsidDel="00000000" w:rsidP="00000000" w:rsidRDefault="00000000" w:rsidRPr="00000000" w14:paraId="000001A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Gas</w:t>
            </w:r>
          </w:p>
        </w:tc>
        <w:tc>
          <w:tcPr>
            <w:vAlign w:val="center"/>
          </w:tcPr>
          <w:p w:rsidR="00000000" w:rsidDel="00000000" w:rsidP="00000000" w:rsidRDefault="00000000" w:rsidRPr="00000000" w14:paraId="000001A2">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M3</w:t>
            </w:r>
          </w:p>
        </w:tc>
        <w:tc>
          <w:tcPr>
            <w:vAlign w:val="center"/>
          </w:tcPr>
          <w:p w:rsidR="00000000" w:rsidDel="00000000" w:rsidP="00000000" w:rsidRDefault="00000000" w:rsidRPr="00000000" w14:paraId="000001A3">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89 </w:t>
            </w:r>
          </w:p>
        </w:tc>
        <w:tc>
          <w:tcPr>
            <w:vAlign w:val="center"/>
          </w:tcPr>
          <w:p w:rsidR="00000000" w:rsidDel="00000000" w:rsidP="00000000" w:rsidRDefault="00000000" w:rsidRPr="00000000" w14:paraId="000001A4">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288.580 </w:t>
            </w:r>
          </w:p>
        </w:tc>
        <w:tc>
          <w:tcPr>
            <w:vAlign w:val="center"/>
          </w:tcPr>
          <w:p w:rsidR="00000000" w:rsidDel="00000000" w:rsidP="00000000" w:rsidRDefault="00000000" w:rsidRPr="00000000" w14:paraId="000001A5">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49 </w:t>
            </w:r>
          </w:p>
        </w:tc>
        <w:tc>
          <w:tcPr>
            <w:vAlign w:val="center"/>
          </w:tcPr>
          <w:p w:rsidR="00000000" w:rsidDel="00000000" w:rsidP="00000000" w:rsidRDefault="00000000" w:rsidRPr="00000000" w14:paraId="000001A6">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$ 2.241.920 </w:t>
            </w:r>
          </w:p>
        </w:tc>
      </w:tr>
    </w:tbl>
    <w:p w:rsidR="00000000" w:rsidDel="00000000" w:rsidP="00000000" w:rsidRDefault="00000000" w:rsidRPr="00000000" w14:paraId="000001A7">
      <w:pPr>
        <w:ind w:left="567" w:firstLine="0"/>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1A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spacing w:after="0" w:line="24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variación porcentual corresponde a situaciones externas e imprevisibles que generaron un aumento en los giros correspondientes al componente, derivadas del traslado del tubo de gas, atendiendo las recomendaciones técnicas y de seguridad de la empresa de servicios públicos VANTI, previa visita de inspección realizada, lo cual generó una afectación presupuestal equivalente a $2.067.780, los costos del servicio en la vigencia 2024 cumplen con los incrementos de Ley efectuados por los prestadores.</w:t>
      </w:r>
    </w:p>
    <w:p w:rsidR="00000000" w:rsidDel="00000000" w:rsidP="00000000" w:rsidRDefault="00000000" w:rsidRPr="00000000" w14:paraId="000001AA">
      <w:pPr>
        <w:spacing w:after="0" w:line="24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B">
      <w:pPr>
        <w:spacing w:after="0" w:line="24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C">
      <w:pPr>
        <w:numPr>
          <w:ilvl w:val="0"/>
          <w:numId w:val="6"/>
        </w:numPr>
        <w:spacing w:after="0" w:line="240" w:lineRule="auto"/>
        <w:ind w:left="786"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Servicios públicos: Energía</w:t>
      </w:r>
    </w:p>
    <w:p w:rsidR="00000000" w:rsidDel="00000000" w:rsidP="00000000" w:rsidRDefault="00000000" w:rsidRPr="00000000" w14:paraId="000001AD">
      <w:pPr>
        <w:spacing w:after="0" w:line="240" w:lineRule="auto"/>
        <w:ind w:left="786" w:firstLine="0"/>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1AE">
      <w:pPr>
        <w:spacing w:after="0" w:line="240" w:lineRule="auto"/>
        <w:jc w:val="center"/>
        <w:rPr>
          <w:rFonts w:ascii="Arial" w:cs="Arial" w:eastAsia="Arial" w:hAnsi="Arial"/>
          <w:b w:val="1"/>
          <w:color w:val="c00000"/>
          <w:sz w:val="20"/>
          <w:szCs w:val="20"/>
        </w:rPr>
      </w:pPr>
      <w:r w:rsidDel="00000000" w:rsidR="00000000" w:rsidRPr="00000000">
        <w:rPr>
          <w:rFonts w:ascii="Arial" w:cs="Arial" w:eastAsia="Arial" w:hAnsi="Arial"/>
          <w:b w:val="1"/>
          <w:color w:val="4472c4"/>
          <w:sz w:val="20"/>
          <w:szCs w:val="20"/>
          <w:rtl w:val="0"/>
        </w:rPr>
        <w:t xml:space="preserve">Tabla 11 Seguimiento de rubro y meta de Austeridad del Gasto Público – Gastos no elegibles- Servicios públicos - Energía </w:t>
      </w:r>
      <w:r w:rsidDel="00000000" w:rsidR="00000000" w:rsidRPr="00000000">
        <w:rPr>
          <w:rtl w:val="0"/>
        </w:rPr>
      </w:r>
    </w:p>
    <w:tbl>
      <w:tblPr>
        <w:tblStyle w:val="Table11"/>
        <w:tblpPr w:leftFromText="180" w:rightFromText="180" w:topFromText="180" w:bottomFromText="180" w:vertAnchor="text" w:horzAnchor="text" w:tblpX="914.5000000000005" w:tblpY="341"/>
        <w:tblW w:w="75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5"/>
        <w:gridCol w:w="960"/>
        <w:gridCol w:w="750"/>
        <w:gridCol w:w="1320"/>
        <w:gridCol w:w="1425"/>
        <w:gridCol w:w="2025"/>
        <w:tblGridChange w:id="0">
          <w:tblGrid>
            <w:gridCol w:w="1065"/>
            <w:gridCol w:w="960"/>
            <w:gridCol w:w="750"/>
            <w:gridCol w:w="1320"/>
            <w:gridCol w:w="1425"/>
            <w:gridCol w:w="2025"/>
          </w:tblGrid>
        </w:tblGridChange>
      </w:tblGrid>
      <w:tr>
        <w:trPr>
          <w:cantSplit w:val="0"/>
          <w:trHeight w:val="559" w:hRule="atLeast"/>
          <w:tblHeader w:val="0"/>
        </w:trPr>
        <w:tc>
          <w:tcPr>
            <w:vMerge w:val="restart"/>
            <w:shd w:fill="b4c6e7" w:val="clear"/>
            <w:vAlign w:val="center"/>
          </w:tcPr>
          <w:p w:rsidR="00000000" w:rsidDel="00000000" w:rsidP="00000000" w:rsidRDefault="00000000" w:rsidRPr="00000000" w14:paraId="000001AF">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Rubro</w:t>
            </w:r>
          </w:p>
        </w:tc>
        <w:tc>
          <w:tcPr>
            <w:vMerge w:val="restart"/>
            <w:shd w:fill="b4c6e7" w:val="clear"/>
            <w:vAlign w:val="center"/>
          </w:tcPr>
          <w:p w:rsidR="00000000" w:rsidDel="00000000" w:rsidP="00000000" w:rsidRDefault="00000000" w:rsidRPr="00000000" w14:paraId="000001B0">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Unidad de medida</w:t>
            </w:r>
          </w:p>
        </w:tc>
        <w:tc>
          <w:tcPr>
            <w:gridSpan w:val="2"/>
            <w:shd w:fill="b4c6e7" w:val="clear"/>
            <w:vAlign w:val="center"/>
          </w:tcPr>
          <w:p w:rsidR="00000000" w:rsidDel="00000000" w:rsidP="00000000" w:rsidRDefault="00000000" w:rsidRPr="00000000" w14:paraId="000001B1">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2023</w:t>
            </w:r>
          </w:p>
        </w:tc>
        <w:tc>
          <w:tcPr>
            <w:gridSpan w:val="2"/>
            <w:shd w:fill="c6e0b4" w:val="clear"/>
            <w:vAlign w:val="center"/>
          </w:tcPr>
          <w:p w:rsidR="00000000" w:rsidDel="00000000" w:rsidP="00000000" w:rsidRDefault="00000000" w:rsidRPr="00000000" w14:paraId="000001B3">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Seguimiento del 1 de enero al 31 de diciembre 2024</w:t>
            </w:r>
          </w:p>
        </w:tc>
      </w:tr>
      <w:tr>
        <w:trPr>
          <w:cantSplit w:val="0"/>
          <w:trHeight w:val="483" w:hRule="atLeast"/>
          <w:tblHeader w:val="0"/>
        </w:trPr>
        <w:tc>
          <w:tcPr>
            <w:vMerge w:val="continue"/>
            <w:shd w:fill="b4c6e7" w:val="clear"/>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0"/>
                <w:szCs w:val="20"/>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0"/>
                <w:szCs w:val="20"/>
              </w:rPr>
            </w:pPr>
            <w:r w:rsidDel="00000000" w:rsidR="00000000" w:rsidRPr="00000000">
              <w:rPr>
                <w:rtl w:val="0"/>
              </w:rPr>
            </w:r>
          </w:p>
        </w:tc>
        <w:tc>
          <w:tcPr>
            <w:shd w:fill="b4c6e7" w:val="clear"/>
            <w:vAlign w:val="center"/>
          </w:tcPr>
          <w:p w:rsidR="00000000" w:rsidDel="00000000" w:rsidP="00000000" w:rsidRDefault="00000000" w:rsidRPr="00000000" w14:paraId="000001B7">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shd w:fill="b4c6e7" w:val="clear"/>
            <w:vAlign w:val="center"/>
          </w:tcPr>
          <w:p w:rsidR="00000000" w:rsidDel="00000000" w:rsidP="00000000" w:rsidRDefault="00000000" w:rsidRPr="00000000" w14:paraId="000001B8">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c>
          <w:tcPr>
            <w:shd w:fill="c6e0b4" w:val="clear"/>
            <w:vAlign w:val="center"/>
          </w:tcPr>
          <w:p w:rsidR="00000000" w:rsidDel="00000000" w:rsidP="00000000" w:rsidRDefault="00000000" w:rsidRPr="00000000" w14:paraId="000001B9">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Cantidad unid medida</w:t>
            </w:r>
          </w:p>
        </w:tc>
        <w:tc>
          <w:tcPr>
            <w:shd w:fill="c6e0b4" w:val="clear"/>
            <w:vAlign w:val="center"/>
          </w:tcPr>
          <w:p w:rsidR="00000000" w:rsidDel="00000000" w:rsidP="00000000" w:rsidRDefault="00000000" w:rsidRPr="00000000" w14:paraId="000001BA">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Consumo en giros</w:t>
            </w:r>
          </w:p>
        </w:tc>
      </w:tr>
      <w:tr>
        <w:trPr>
          <w:cantSplit w:val="0"/>
          <w:trHeight w:val="316" w:hRule="atLeast"/>
          <w:tblHeader w:val="0"/>
        </w:trPr>
        <w:tc>
          <w:tcPr>
            <w:vAlign w:val="center"/>
          </w:tcPr>
          <w:p w:rsidR="00000000" w:rsidDel="00000000" w:rsidP="00000000" w:rsidRDefault="00000000" w:rsidRPr="00000000" w14:paraId="000001BB">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Energía</w:t>
            </w:r>
          </w:p>
        </w:tc>
        <w:tc>
          <w:tcPr>
            <w:vAlign w:val="center"/>
          </w:tcPr>
          <w:p w:rsidR="00000000" w:rsidDel="00000000" w:rsidP="00000000" w:rsidRDefault="00000000" w:rsidRPr="00000000" w14:paraId="000001BC">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KW/h</w:t>
            </w:r>
          </w:p>
        </w:tc>
        <w:tc>
          <w:tcPr>
            <w:vAlign w:val="center"/>
          </w:tcPr>
          <w:p w:rsidR="00000000" w:rsidDel="00000000" w:rsidP="00000000" w:rsidRDefault="00000000" w:rsidRPr="00000000" w14:paraId="000001BD">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73712</w:t>
            </w:r>
          </w:p>
        </w:tc>
        <w:tc>
          <w:tcPr>
            <w:vAlign w:val="center"/>
          </w:tcPr>
          <w:p w:rsidR="00000000" w:rsidDel="00000000" w:rsidP="00000000" w:rsidRDefault="00000000" w:rsidRPr="00000000" w14:paraId="000001BE">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$71.408.395</w:t>
            </w:r>
          </w:p>
        </w:tc>
        <w:tc>
          <w:tcPr>
            <w:vAlign w:val="center"/>
          </w:tcPr>
          <w:p w:rsidR="00000000" w:rsidDel="00000000" w:rsidP="00000000" w:rsidRDefault="00000000" w:rsidRPr="00000000" w14:paraId="000001BF">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79.248</w:t>
            </w:r>
          </w:p>
        </w:tc>
        <w:tc>
          <w:tcPr>
            <w:vAlign w:val="center"/>
          </w:tcPr>
          <w:p w:rsidR="00000000" w:rsidDel="00000000" w:rsidP="00000000" w:rsidRDefault="00000000" w:rsidRPr="00000000" w14:paraId="000001C0">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1">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$71.593.879</w:t>
            </w:r>
          </w:p>
          <w:p w:rsidR="00000000" w:rsidDel="00000000" w:rsidP="00000000" w:rsidRDefault="00000000" w:rsidRPr="00000000" w14:paraId="000001C2">
            <w:pPr>
              <w:spacing w:after="0" w:line="240" w:lineRule="auto"/>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1C3">
      <w:pPr>
        <w:jc w:val="center"/>
        <w:rPr>
          <w:rFonts w:ascii="Arial" w:cs="Arial" w:eastAsia="Arial" w:hAnsi="Arial"/>
          <w:b w:val="1"/>
          <w:color w:val="c00000"/>
          <w:sz w:val="20"/>
          <w:szCs w:val="20"/>
        </w:rPr>
      </w:pPr>
      <w:r w:rsidDel="00000000" w:rsidR="00000000" w:rsidRPr="00000000">
        <w:rPr>
          <w:rtl w:val="0"/>
        </w:rPr>
      </w:r>
    </w:p>
    <w:p w:rsidR="00000000" w:rsidDel="00000000" w:rsidP="00000000" w:rsidRDefault="00000000" w:rsidRPr="00000000" w14:paraId="000001C4">
      <w:pPr>
        <w:rPr>
          <w:rFonts w:ascii="Arial" w:cs="Arial" w:eastAsia="Arial" w:hAnsi="Arial"/>
          <w:b w:val="1"/>
          <w:color w:val="c00000"/>
          <w:sz w:val="20"/>
          <w:szCs w:val="20"/>
        </w:rPr>
      </w:pPr>
      <w:r w:rsidDel="00000000" w:rsidR="00000000" w:rsidRPr="00000000">
        <w:rPr>
          <w:rtl w:val="0"/>
        </w:rPr>
      </w:r>
    </w:p>
    <w:p w:rsidR="00000000" w:rsidDel="00000000" w:rsidP="00000000" w:rsidRDefault="00000000" w:rsidRPr="00000000" w14:paraId="000001C5">
      <w:pPr>
        <w:rPr>
          <w:rFonts w:ascii="Arial" w:cs="Arial" w:eastAsia="Arial" w:hAnsi="Arial"/>
          <w:b w:val="1"/>
          <w:color w:val="c00000"/>
          <w:sz w:val="20"/>
          <w:szCs w:val="20"/>
        </w:rPr>
      </w:pPr>
      <w:r w:rsidDel="00000000" w:rsidR="00000000" w:rsidRPr="00000000">
        <w:rPr>
          <w:rtl w:val="0"/>
        </w:rPr>
      </w:r>
    </w:p>
    <w:p w:rsidR="00000000" w:rsidDel="00000000" w:rsidP="00000000" w:rsidRDefault="00000000" w:rsidRPr="00000000" w14:paraId="000001C6">
      <w:pPr>
        <w:rPr>
          <w:rFonts w:ascii="Arial" w:cs="Arial" w:eastAsia="Arial" w:hAnsi="Arial"/>
          <w:b w:val="1"/>
          <w:color w:val="c00000"/>
          <w:sz w:val="20"/>
          <w:szCs w:val="20"/>
        </w:rPr>
      </w:pPr>
      <w:r w:rsidDel="00000000" w:rsidR="00000000" w:rsidRPr="00000000">
        <w:rPr>
          <w:rtl w:val="0"/>
        </w:rPr>
      </w:r>
    </w:p>
    <w:p w:rsidR="00000000" w:rsidDel="00000000" w:rsidP="00000000" w:rsidRDefault="00000000" w:rsidRPr="00000000" w14:paraId="000001C7">
      <w:pPr>
        <w:rPr>
          <w:rFonts w:ascii="Arial" w:cs="Arial" w:eastAsia="Arial" w:hAnsi="Arial"/>
          <w:b w:val="1"/>
          <w:color w:val="c00000"/>
          <w:sz w:val="20"/>
          <w:szCs w:val="20"/>
        </w:rPr>
      </w:pPr>
      <w:r w:rsidDel="00000000" w:rsidR="00000000" w:rsidRPr="00000000">
        <w:rPr>
          <w:rtl w:val="0"/>
        </w:rPr>
      </w:r>
    </w:p>
    <w:p w:rsidR="00000000" w:rsidDel="00000000" w:rsidP="00000000" w:rsidRDefault="00000000" w:rsidRPr="00000000" w14:paraId="000001C8">
      <w:pPr>
        <w:spacing w:after="0" w:line="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9">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aumento en el consumo se debe al mayor número de actividades misionales, presencialidad de los funcionarios en la entidad, aumento de visitantes en biblioteca y salas, trabajos en la obra del auditorio, otro factor determinante es el incremento por cambio de vigencia establecidos en el marco regulatorio.</w:t>
      </w:r>
    </w:p>
    <w:p w:rsidR="00000000" w:rsidDel="00000000" w:rsidP="00000000" w:rsidRDefault="00000000" w:rsidRPr="00000000" w14:paraId="000001C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B">
      <w:pP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Acciones adelantadas o desarrolladas para los demás rubros contemplados en el decreto que no se contemplaron como gastos elegibles</w:t>
      </w:r>
    </w:p>
    <w:p w:rsidR="00000000" w:rsidDel="00000000" w:rsidP="00000000" w:rsidRDefault="00000000" w:rsidRPr="00000000" w14:paraId="000001CC">
      <w:pPr>
        <w:numPr>
          <w:ilvl w:val="0"/>
          <w:numId w:val="7"/>
        </w:numPr>
        <w:spacing w:after="0" w:before="24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La contratación de servicios profesionales y de apoyo se realiza conforme con las normas vigentes en la materia y con la planeación institucional.</w:t>
      </w:r>
    </w:p>
    <w:p w:rsidR="00000000" w:rsidDel="00000000" w:rsidP="00000000" w:rsidRDefault="00000000" w:rsidRPr="00000000" w14:paraId="000001CD">
      <w:pPr>
        <w:numPr>
          <w:ilvl w:val="0"/>
          <w:numId w:val="7"/>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pago de horas extras se contempla únicamente para los funcionarios con el cargo de Operario, Técnico Operativo y Auxiliar Administrativo y que apoyan actividades misionales fuera del horario de la entidad, adicionalmente la FUGA tiene procedimientos y formatos que permiten llevar el control de las horas extras, dando cumplimiento a los topes para el pago de las mismas.</w:t>
      </w:r>
    </w:p>
    <w:p w:rsidR="00000000" w:rsidDel="00000000" w:rsidP="00000000" w:rsidRDefault="00000000" w:rsidRPr="00000000" w14:paraId="000001CE">
      <w:pPr>
        <w:numPr>
          <w:ilvl w:val="0"/>
          <w:numId w:val="7"/>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Desde el área de Tecnología se implementan controles para el uso de la línea fija, la cual no permite llamadas internacionales ni a larga distancia.</w:t>
      </w:r>
    </w:p>
    <w:p w:rsidR="00000000" w:rsidDel="00000000" w:rsidP="00000000" w:rsidRDefault="00000000" w:rsidRPr="00000000" w14:paraId="000001CF">
      <w:pPr>
        <w:numPr>
          <w:ilvl w:val="0"/>
          <w:numId w:val="7"/>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tienen implementados controles de consumo de papel. La FUGA cuenta con impresoras con sello Energy Star para mejorar la eficiencia energética, distribuidas en la sede principal, sede “casa amarilla” y sede “casa de los grifos”. Para tener control del número de impresiones se cuentan con códigos personales a cada uno de los trabajadores de la entidad y el número de impresiones realizadas quedan registradas en las impresoras.</w:t>
      </w:r>
    </w:p>
    <w:p w:rsidR="00000000" w:rsidDel="00000000" w:rsidP="00000000" w:rsidRDefault="00000000" w:rsidRPr="00000000" w14:paraId="000001D0">
      <w:pPr>
        <w:numPr>
          <w:ilvl w:val="0"/>
          <w:numId w:val="7"/>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ejecución del plan de bienestar también se apoya en alianzas institucionales con otras entidades públicas que contemplen actividades planeadas.</w:t>
      </w:r>
    </w:p>
    <w:p w:rsidR="00000000" w:rsidDel="00000000" w:rsidP="00000000" w:rsidRDefault="00000000" w:rsidRPr="00000000" w14:paraId="000001D1">
      <w:pPr>
        <w:numPr>
          <w:ilvl w:val="0"/>
          <w:numId w:val="5"/>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realiza divulgación de piezas comunicativas a través del correo institucional incentivando la participación de los funcionarios y contratistas en las diferentes actividades </w:t>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17" w:top="212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Bookman Old Sty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9">
    <w:pPr>
      <w:spacing w:after="0" w:line="240" w:lineRule="auto"/>
      <w:jc w:val="center"/>
      <w:rPr>
        <w:rFonts w:ascii="Arial" w:cs="Arial" w:eastAsia="Arial" w:hAnsi="Arial"/>
        <w:color w:val="4472c4"/>
        <w:sz w:val="20"/>
        <w:szCs w:val="20"/>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Arial" w:cs="Arial" w:eastAsia="Arial" w:hAnsi="Arial"/>
        <w:color w:val="4472c4"/>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mc:AlternateContent>
        <mc:Choice Requires="wpg">
          <w:drawing>
            <wp:anchor allowOverlap="1" behindDoc="1" distB="0" distT="0" distL="0" distR="0" hidden="0" layoutInCell="1" locked="0" relativeHeight="0" simplePos="0">
              <wp:simplePos x="0" y="0"/>
              <wp:positionH relativeFrom="margin">
                <wp:posOffset>2457451</wp:posOffset>
              </wp:positionH>
              <wp:positionV relativeFrom="page">
                <wp:posOffset>448946</wp:posOffset>
              </wp:positionV>
              <wp:extent cx="3627120" cy="538183"/>
              <wp:effectExtent b="0" l="0" r="0" t="0"/>
              <wp:wrapNone/>
              <wp:docPr id="64" name=""/>
              <a:graphic>
                <a:graphicData uri="http://schemas.microsoft.com/office/word/2010/wordprocessingShape">
                  <wps:wsp>
                    <wps:cNvSpPr/>
                    <wps:cNvPr id="3" name="Shape 3"/>
                    <wps:spPr>
                      <a:xfrm>
                        <a:off x="3541965" y="3520434"/>
                        <a:ext cx="3608070" cy="519133"/>
                      </a:xfrm>
                      <a:prstGeom prst="rect">
                        <a:avLst/>
                      </a:prstGeom>
                      <a:noFill/>
                      <a:ln>
                        <a:noFill/>
                      </a:ln>
                    </wps:spPr>
                    <wps:txbx>
                      <w:txbxContent>
                        <w:p w:rsidR="00000000" w:rsidDel="00000000" w:rsidP="00000000" w:rsidRDefault="00000000" w:rsidRPr="00000000">
                          <w:pPr>
                            <w:spacing w:after="160" w:before="45" w:line="258.0000114440918"/>
                            <w:ind w:left="20" w:right="0" w:firstLine="40"/>
                            <w:jc w:val="right"/>
                            <w:textDirection w:val="btLr"/>
                          </w:pPr>
                          <w:r w:rsidDel="00000000" w:rsidR="00000000" w:rsidRPr="00000000">
                            <w:rPr>
                              <w:rFonts w:ascii="Arial" w:cs="Arial" w:eastAsia="Arial" w:hAnsi="Arial"/>
                              <w:b w:val="1"/>
                              <w:i w:val="0"/>
                              <w:smallCaps w:val="0"/>
                              <w:strike w:val="0"/>
                              <w:color w:val="222a35"/>
                              <w:sz w:val="22"/>
                              <w:vertAlign w:val="baseline"/>
                            </w:rPr>
                            <w:t xml:space="preserve">Fundación Gilberto Álzate Avendaño</w:t>
                          </w:r>
                        </w:p>
                        <w:p w:rsidR="00000000" w:rsidDel="00000000" w:rsidP="00000000" w:rsidRDefault="00000000" w:rsidRPr="00000000">
                          <w:pPr>
                            <w:spacing w:after="160" w:before="45" w:line="258.0000114440918"/>
                            <w:ind w:left="20" w:right="0" w:firstLine="40"/>
                            <w:jc w:val="right"/>
                            <w:textDirection w:val="btLr"/>
                          </w:pPr>
                          <w:r w:rsidDel="00000000" w:rsidR="00000000" w:rsidRPr="00000000">
                            <w:rPr>
                              <w:rFonts w:ascii="Arial" w:cs="Arial" w:eastAsia="Arial" w:hAnsi="Arial"/>
                              <w:b w:val="1"/>
                              <w:i w:val="0"/>
                              <w:smallCaps w:val="0"/>
                              <w:strike w:val="0"/>
                              <w:color w:val="222a35"/>
                              <w:sz w:val="22"/>
                              <w:vertAlign w:val="baseline"/>
                            </w:rPr>
                          </w:r>
                          <w:r w:rsidDel="00000000" w:rsidR="00000000" w:rsidRPr="00000000">
                            <w:rPr>
                              <w:rFonts w:ascii="Arial" w:cs="Arial" w:eastAsia="Arial" w:hAnsi="Arial"/>
                              <w:b w:val="1"/>
                              <w:i w:val="0"/>
                              <w:smallCaps w:val="0"/>
                              <w:strike w:val="0"/>
                              <w:color w:val="222a35"/>
                              <w:sz w:val="22"/>
                              <w:vertAlign w:val="baseline"/>
                            </w:rPr>
                            <w:t xml:space="preserve">Sector Cultura, Recreación y Deporte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posOffset>2457451</wp:posOffset>
              </wp:positionH>
              <wp:positionV relativeFrom="page">
                <wp:posOffset>448946</wp:posOffset>
              </wp:positionV>
              <wp:extent cx="3627120" cy="538183"/>
              <wp:effectExtent b="0" l="0" r="0" t="0"/>
              <wp:wrapNone/>
              <wp:docPr id="6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627120" cy="538183"/>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-219072</wp:posOffset>
          </wp:positionH>
          <wp:positionV relativeFrom="paragraph">
            <wp:posOffset>-44447</wp:posOffset>
          </wp:positionV>
          <wp:extent cx="1444169" cy="712194"/>
          <wp:effectExtent b="0" l="0" r="0" t="0"/>
          <wp:wrapNone/>
          <wp:docPr descr="Logotipo&#10;&#10;Descripción generada automáticamente" id="67" name="image1.png"/>
          <a:graphic>
            <a:graphicData uri="http://schemas.openxmlformats.org/drawingml/2006/picture">
              <pic:pic>
                <pic:nvPicPr>
                  <pic:cNvPr descr="Logotipo&#10;&#10;Descripción generada automáticamente" id="0" name="image1.png"/>
                  <pic:cNvPicPr preferRelativeResize="0"/>
                </pic:nvPicPr>
                <pic:blipFill>
                  <a:blip r:embed="rId2"/>
                  <a:srcRect b="0" l="0" r="0" t="0"/>
                  <a:stretch>
                    <a:fillRect/>
                  </a:stretch>
                </pic:blipFill>
                <pic:spPr>
                  <a:xfrm>
                    <a:off x="0" y="0"/>
                    <a:ext cx="1444169" cy="712194"/>
                  </a:xfrm>
                  <a:prstGeom prst="rect"/>
                  <a:ln/>
                </pic:spPr>
              </pic:pic>
            </a:graphicData>
          </a:graphic>
        </wp:anchor>
      </w:drawing>
    </w:r>
  </w:p>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decimal"/>
      <w:lvlText w:val=""/>
      <w:lvlJc w:val="left"/>
      <w:pPr>
        <w:ind w:left="0" w:firstLine="0"/>
      </w:pPr>
      <w:rPr/>
    </w:lvl>
    <w:lvl w:ilvl="1">
      <w:start w:val="1"/>
      <w:numFmt w:val="decimal"/>
      <w:lvlText w:val="%2."/>
      <w:lvlJc w:val="left"/>
      <w:pPr>
        <w:ind w:left="3479" w:hanging="360"/>
      </w:pPr>
      <w:rPr>
        <w:rFonts w:ascii="Bookman Old Style" w:cs="Bookman Old Style" w:eastAsia="Bookman Old Style" w:hAnsi="Bookman Old Style"/>
        <w:b w:val="1"/>
        <w:color w:val="c00000"/>
        <w:sz w:val="28"/>
        <w:szCs w:val="28"/>
      </w:rPr>
    </w:lvl>
    <w:lvl w:ilvl="2">
      <w:start w:val="0"/>
      <w:numFmt w:val="bullet"/>
      <w:lvlText w:val="•"/>
      <w:lvlJc w:val="left"/>
      <w:pPr>
        <w:ind w:left="5240" w:hanging="360"/>
      </w:pPr>
      <w:rPr/>
    </w:lvl>
    <w:lvl w:ilvl="3">
      <w:start w:val="0"/>
      <w:numFmt w:val="bullet"/>
      <w:lvlText w:val="•"/>
      <w:lvlJc w:val="left"/>
      <w:pPr>
        <w:ind w:left="5860" w:hanging="360"/>
      </w:pPr>
      <w:rPr/>
    </w:lvl>
    <w:lvl w:ilvl="4">
      <w:start w:val="0"/>
      <w:numFmt w:val="bullet"/>
      <w:lvlText w:val="•"/>
      <w:lvlJc w:val="left"/>
      <w:pPr>
        <w:ind w:left="6480" w:hanging="360"/>
      </w:pPr>
      <w:rPr/>
    </w:lvl>
    <w:lvl w:ilvl="5">
      <w:start w:val="0"/>
      <w:numFmt w:val="bullet"/>
      <w:lvlText w:val="•"/>
      <w:lvlJc w:val="left"/>
      <w:pPr>
        <w:ind w:left="7100" w:hanging="360"/>
      </w:pPr>
      <w:rPr/>
    </w:lvl>
    <w:lvl w:ilvl="6">
      <w:start w:val="0"/>
      <w:numFmt w:val="bullet"/>
      <w:lvlText w:val="•"/>
      <w:lvlJc w:val="left"/>
      <w:pPr>
        <w:ind w:left="7720" w:hanging="360"/>
      </w:pPr>
      <w:rPr/>
    </w:lvl>
    <w:lvl w:ilvl="7">
      <w:start w:val="0"/>
      <w:numFmt w:val="bullet"/>
      <w:lvlText w:val="•"/>
      <w:lvlJc w:val="left"/>
      <w:pPr>
        <w:ind w:left="8340" w:hanging="360"/>
      </w:pPr>
      <w:rPr/>
    </w:lvl>
    <w:lvl w:ilvl="8">
      <w:start w:val="0"/>
      <w:numFmt w:val="bullet"/>
      <w:lvlText w:val="•"/>
      <w:lvlJc w:val="left"/>
      <w:pPr>
        <w:ind w:left="8960" w:hanging="36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86" w:hanging="360.00000000000006"/>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68" w:lineRule="auto"/>
      <w:ind w:left="1006" w:right="1009"/>
      <w:jc w:val="center"/>
    </w:pPr>
    <w:rPr>
      <w:rFonts w:ascii="Arial" w:cs="Arial" w:eastAsia="Arial" w:hAnsi="Arial"/>
      <w:b w:val="1"/>
      <w:sz w:val="48"/>
      <w:szCs w:val="48"/>
    </w:rPr>
  </w:style>
  <w:style w:type="paragraph" w:styleId="Normal" w:default="1">
    <w:name w:val="Normal"/>
    <w:qFormat w:val="1"/>
    <w:rsid w:val="002800D1"/>
  </w:style>
  <w:style w:type="paragraph" w:styleId="Ttulo1">
    <w:name w:val="heading 1"/>
    <w:basedOn w:val="Normal"/>
    <w:next w:val="Normal"/>
    <w:link w:val="Ttulo1Car"/>
    <w:uiPriority w:val="9"/>
    <w:qFormat w:val="1"/>
    <w:rsid w:val="00873DD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link w:val="TtuloCar"/>
    <w:uiPriority w:val="10"/>
    <w:qFormat w:val="1"/>
    <w:rsid w:val="0077395B"/>
    <w:pPr>
      <w:spacing w:before="168"/>
      <w:ind w:left="1006" w:right="1009"/>
      <w:jc w:val="center"/>
    </w:pPr>
    <w:rPr>
      <w:rFonts w:ascii="Arial" w:cs="Arial" w:eastAsia="Arial" w:hAnsi="Arial"/>
      <w:b w:val="1"/>
      <w:bCs w:val="1"/>
      <w:sz w:val="48"/>
      <w:szCs w:val="48"/>
      <w:lang w:val="es-ES"/>
    </w:rPr>
  </w:style>
  <w:style w:type="table" w:styleId="TableNormal0" w:customStyle="1">
    <w:name w:val="Table Normal"/>
    <w:tblPr>
      <w:tblCellMar>
        <w:top w:w="0.0" w:type="dxa"/>
        <w:left w:w="0.0" w:type="dxa"/>
        <w:bottom w:w="0.0" w:type="dxa"/>
        <w:right w:w="0.0" w:type="dxa"/>
      </w:tblCellMar>
    </w:tblPr>
  </w:style>
  <w:style w:type="character" w:styleId="normaltextrun" w:customStyle="1">
    <w:name w:val="normaltextrun"/>
    <w:basedOn w:val="Fuentedeprrafopredeter"/>
    <w:rsid w:val="00DF2430"/>
  </w:style>
  <w:style w:type="paragraph" w:styleId="paragraph" w:customStyle="1">
    <w:name w:val="paragraph"/>
    <w:basedOn w:val="Normal"/>
    <w:rsid w:val="00DF2430"/>
    <w:pPr>
      <w:spacing w:after="100" w:afterAutospacing="1" w:before="100" w:beforeAutospacing="1" w:line="240" w:lineRule="auto"/>
    </w:pPr>
    <w:rPr>
      <w:rFonts w:ascii="Times New Roman" w:cs="Times New Roman" w:eastAsia="Times New Roman" w:hAnsi="Times New Roman"/>
      <w:sz w:val="24"/>
      <w:szCs w:val="24"/>
    </w:rPr>
  </w:style>
  <w:style w:type="paragraph" w:styleId="Encabezado">
    <w:name w:val="header"/>
    <w:basedOn w:val="Normal"/>
    <w:link w:val="EncabezadoCar"/>
    <w:uiPriority w:val="99"/>
    <w:unhideWhenUsed w:val="1"/>
    <w:rsid w:val="00902F1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02F19"/>
  </w:style>
  <w:style w:type="paragraph" w:styleId="Piedepgina">
    <w:name w:val="footer"/>
    <w:basedOn w:val="Normal"/>
    <w:link w:val="PiedepginaCar"/>
    <w:uiPriority w:val="99"/>
    <w:unhideWhenUsed w:val="1"/>
    <w:rsid w:val="00902F1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02F19"/>
  </w:style>
  <w:style w:type="paragraph" w:styleId="Textoindependiente">
    <w:name w:val="Body Text"/>
    <w:basedOn w:val="Normal"/>
    <w:link w:val="TextoindependienteCar"/>
    <w:uiPriority w:val="1"/>
    <w:qFormat w:val="1"/>
    <w:rsid w:val="0077395B"/>
    <w:rPr>
      <w:rFonts w:ascii="Arial Black" w:cs="Arial Black" w:eastAsia="Arial Black" w:hAnsi="Arial Black"/>
      <w:sz w:val="24"/>
      <w:szCs w:val="24"/>
      <w:lang w:val="es-ES"/>
    </w:rPr>
  </w:style>
  <w:style w:type="character" w:styleId="TextoindependienteCar" w:customStyle="1">
    <w:name w:val="Texto independiente Car"/>
    <w:basedOn w:val="Fuentedeprrafopredeter"/>
    <w:link w:val="Textoindependiente"/>
    <w:uiPriority w:val="1"/>
    <w:rsid w:val="0077395B"/>
    <w:rPr>
      <w:rFonts w:ascii="Arial Black" w:cs="Arial Black" w:eastAsia="Arial Black" w:hAnsi="Arial Black"/>
      <w:sz w:val="24"/>
      <w:szCs w:val="24"/>
      <w:lang w:val="es-ES"/>
    </w:rPr>
  </w:style>
  <w:style w:type="character" w:styleId="TtuloCar" w:customStyle="1">
    <w:name w:val="Título Car"/>
    <w:basedOn w:val="Fuentedeprrafopredeter"/>
    <w:link w:val="Ttulo"/>
    <w:uiPriority w:val="10"/>
    <w:rsid w:val="0077395B"/>
    <w:rPr>
      <w:rFonts w:ascii="Arial" w:cs="Arial" w:eastAsia="Arial" w:hAnsi="Arial"/>
      <w:b w:val="1"/>
      <w:bCs w:val="1"/>
      <w:sz w:val="48"/>
      <w:szCs w:val="48"/>
      <w:lang w:val="es-ES"/>
    </w:rPr>
  </w:style>
  <w:style w:type="paragraph" w:styleId="Estilo1" w:customStyle="1">
    <w:name w:val="Estilo1"/>
    <w:basedOn w:val="Ttulo1"/>
    <w:rsid w:val="00873DD1"/>
    <w:pPr>
      <w:keepNext w:val="0"/>
      <w:keepLines w:val="0"/>
      <w:numPr>
        <w:ilvl w:val="1"/>
        <w:numId w:val="1"/>
      </w:numPr>
      <w:spacing w:after="160" w:before="300"/>
      <w:ind w:left="7165"/>
    </w:pPr>
    <w:rPr>
      <w:rFonts w:cstheme="minorHAnsi" w:eastAsiaTheme="minorHAnsi"/>
      <w:b w:val="1"/>
      <w:bCs w:val="1"/>
      <w:color w:val="c00000"/>
      <w:sz w:val="28"/>
      <w:szCs w:val="28"/>
    </w:rPr>
  </w:style>
  <w:style w:type="paragraph" w:styleId="Estilo2" w:customStyle="1">
    <w:name w:val="Estilo2"/>
    <w:basedOn w:val="Estilo1"/>
    <w:link w:val="Estilo2Car"/>
    <w:qFormat w:val="1"/>
    <w:rsid w:val="00873DD1"/>
    <w:pPr>
      <w:ind w:left="3479"/>
    </w:pPr>
  </w:style>
  <w:style w:type="character" w:styleId="Estilo2Car" w:customStyle="1">
    <w:name w:val="Estilo2 Car"/>
    <w:basedOn w:val="Fuentedeprrafopredeter"/>
    <w:link w:val="Estilo2"/>
    <w:rsid w:val="00873DD1"/>
    <w:rPr>
      <w:rFonts w:asciiTheme="majorHAnsi" w:cstheme="minorHAnsi" w:hAnsiTheme="majorHAnsi"/>
      <w:b w:val="1"/>
      <w:bCs w:val="1"/>
      <w:color w:val="c00000"/>
      <w:sz w:val="28"/>
      <w:szCs w:val="28"/>
    </w:rPr>
  </w:style>
  <w:style w:type="character" w:styleId="Ttulo1Car" w:customStyle="1">
    <w:name w:val="Título 1 Car"/>
    <w:basedOn w:val="Fuentedeprrafopredeter"/>
    <w:link w:val="Ttulo1"/>
    <w:uiPriority w:val="9"/>
    <w:rsid w:val="00873DD1"/>
    <w:rPr>
      <w:rFonts w:asciiTheme="majorHAnsi" w:cstheme="majorBidi" w:eastAsiaTheme="majorEastAsia" w:hAnsiTheme="majorHAnsi"/>
      <w:color w:val="2f5496" w:themeColor="accent1" w:themeShade="0000BF"/>
      <w:sz w:val="32"/>
      <w:szCs w:val="32"/>
    </w:rPr>
  </w:style>
  <w:style w:type="paragraph" w:styleId="Prrafodelista">
    <w:name w:val="List Paragraph"/>
    <w:basedOn w:val="Normal"/>
    <w:uiPriority w:val="34"/>
    <w:qFormat w:val="1"/>
    <w:rsid w:val="00BE0C9C"/>
    <w:pPr>
      <w:ind w:left="720"/>
      <w:contextualSpacing w:val="1"/>
    </w:pPr>
  </w:style>
  <w:style w:type="character" w:styleId="Refdecomentario">
    <w:name w:val="annotation reference"/>
    <w:basedOn w:val="Fuentedeprrafopredeter"/>
    <w:uiPriority w:val="99"/>
    <w:semiHidden w:val="1"/>
    <w:unhideWhenUsed w:val="1"/>
    <w:rsid w:val="001D51C9"/>
    <w:rPr>
      <w:sz w:val="16"/>
      <w:szCs w:val="16"/>
    </w:rPr>
  </w:style>
  <w:style w:type="paragraph" w:styleId="Textocomentario">
    <w:name w:val="annotation text"/>
    <w:basedOn w:val="Normal"/>
    <w:link w:val="TextocomentarioCar"/>
    <w:uiPriority w:val="99"/>
    <w:semiHidden w:val="1"/>
    <w:unhideWhenUsed w:val="1"/>
    <w:rsid w:val="001D51C9"/>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1D51C9"/>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1D51C9"/>
    <w:rPr>
      <w:b w:val="1"/>
      <w:bCs w:val="1"/>
    </w:rPr>
  </w:style>
  <w:style w:type="character" w:styleId="AsuntodelcomentarioCar" w:customStyle="1">
    <w:name w:val="Asunto del comentario Car"/>
    <w:basedOn w:val="TextocomentarioCar"/>
    <w:link w:val="Asuntodelcomentario"/>
    <w:uiPriority w:val="99"/>
    <w:semiHidden w:val="1"/>
    <w:rsid w:val="001D51C9"/>
    <w:rPr>
      <w:b w:val="1"/>
      <w:bCs w:val="1"/>
      <w:sz w:val="20"/>
      <w:szCs w:val="20"/>
    </w:rPr>
  </w:style>
  <w:style w:type="paragraph" w:styleId="Textodeglobo">
    <w:name w:val="Balloon Text"/>
    <w:basedOn w:val="Normal"/>
    <w:link w:val="TextodegloboCar"/>
    <w:uiPriority w:val="99"/>
    <w:semiHidden w:val="1"/>
    <w:unhideWhenUsed w:val="1"/>
    <w:rsid w:val="001D51C9"/>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D51C9"/>
    <w:rPr>
      <w:rFonts w:ascii="Segoe UI" w:cs="Segoe UI" w:hAnsi="Segoe UI"/>
      <w:sz w:val="18"/>
      <w:szCs w:val="18"/>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70.0" w:type="dxa"/>
        <w:right w:w="70.0" w:type="dxa"/>
      </w:tblCellMar>
    </w:tblPr>
  </w:style>
  <w:style w:type="table" w:styleId="a0" w:customStyle="1">
    <w:basedOn w:val="TableNormal0"/>
    <w:tblPr>
      <w:tblStyleRowBandSize w:val="1"/>
      <w:tblStyleColBandSize w:val="1"/>
      <w:tblCellMar>
        <w:left w:w="70.0" w:type="dxa"/>
        <w:right w:w="70.0" w:type="dxa"/>
      </w:tblCellMar>
    </w:tblPr>
  </w:style>
  <w:style w:type="table" w:styleId="a1" w:customStyle="1">
    <w:basedOn w:val="TableNormal0"/>
    <w:tblPr>
      <w:tblStyleRowBandSize w:val="1"/>
      <w:tblStyleColBandSize w:val="1"/>
      <w:tblCellMar>
        <w:left w:w="70.0" w:type="dxa"/>
        <w:right w:w="70.0" w:type="dxa"/>
      </w:tblCellMar>
    </w:tblPr>
  </w:style>
  <w:style w:type="table" w:styleId="a2" w:customStyle="1">
    <w:basedOn w:val="TableNormal0"/>
    <w:tblPr>
      <w:tblStyleRowBandSize w:val="1"/>
      <w:tblStyleColBandSize w:val="1"/>
      <w:tblCellMar>
        <w:left w:w="70.0" w:type="dxa"/>
        <w:right w:w="70.0" w:type="dxa"/>
      </w:tblCellMar>
    </w:tblPr>
  </w:style>
  <w:style w:type="table" w:styleId="a3" w:customStyle="1">
    <w:basedOn w:val="TableNormal0"/>
    <w:tblPr>
      <w:tblStyleRowBandSize w:val="1"/>
      <w:tblStyleColBandSize w:val="1"/>
      <w:tblCellMar>
        <w:left w:w="70.0" w:type="dxa"/>
        <w:right w:w="70.0" w:type="dxa"/>
      </w:tblCellMar>
    </w:tblPr>
  </w:style>
  <w:style w:type="table" w:styleId="a4" w:customStyle="1">
    <w:basedOn w:val="TableNormal0"/>
    <w:tblPr>
      <w:tblStyleRowBandSize w:val="1"/>
      <w:tblStyleColBandSize w:val="1"/>
      <w:tblCellMar>
        <w:left w:w="70.0" w:type="dxa"/>
        <w:right w:w="70.0" w:type="dxa"/>
      </w:tblCellMar>
    </w:tblPr>
  </w:style>
  <w:style w:type="table" w:styleId="a5" w:customStyle="1">
    <w:basedOn w:val="TableNormal0"/>
    <w:tblPr>
      <w:tblStyleRowBandSize w:val="1"/>
      <w:tblStyleColBandSize w:val="1"/>
      <w:tblCellMar>
        <w:left w:w="70.0" w:type="dxa"/>
        <w:right w:w="70.0" w:type="dxa"/>
      </w:tblCellMar>
    </w:tblPr>
  </w:style>
  <w:style w:type="table" w:styleId="a6" w:customStyle="1">
    <w:basedOn w:val="TableNormal0"/>
    <w:tblPr>
      <w:tblStyleRowBandSize w:val="1"/>
      <w:tblStyleColBandSize w:val="1"/>
      <w:tblCellMar>
        <w:left w:w="70.0" w:type="dxa"/>
        <w:right w:w="70.0" w:type="dxa"/>
      </w:tblCellMar>
    </w:tblPr>
  </w:style>
  <w:style w:type="table" w:styleId="a7" w:customStyle="1">
    <w:basedOn w:val="TableNormal0"/>
    <w:tblPr>
      <w:tblStyleRowBandSize w:val="1"/>
      <w:tblStyleColBandSize w:val="1"/>
      <w:tblCellMar>
        <w:left w:w="70.0" w:type="dxa"/>
        <w:right w:w="70.0" w:type="dxa"/>
      </w:tblCellMar>
    </w:tblPr>
  </w:style>
  <w:style w:type="paragraph" w:styleId="Revisin">
    <w:name w:val="Revision"/>
    <w:hidden w:val="1"/>
    <w:uiPriority w:val="99"/>
    <w:semiHidden w:val="1"/>
    <w:rsid w:val="00813A3B"/>
    <w:pPr>
      <w:spacing w:after="0" w:line="240" w:lineRule="auto"/>
    </w:pPr>
  </w:style>
  <w:style w:type="table" w:styleId="a8" w:customStyle="1">
    <w:basedOn w:val="TableNormal0"/>
    <w:tblPr>
      <w:tblStyleRowBandSize w:val="1"/>
      <w:tblStyleColBandSize w:val="1"/>
      <w:tblCellMar>
        <w:left w:w="70.0" w:type="dxa"/>
        <w:right w:w="70.0" w:type="dxa"/>
      </w:tblCellMar>
    </w:tblPr>
  </w:style>
  <w:style w:type="table" w:styleId="a9" w:customStyle="1">
    <w:basedOn w:val="TableNormal0"/>
    <w:tblPr>
      <w:tblStyleRowBandSize w:val="1"/>
      <w:tblStyleColBandSize w:val="1"/>
      <w:tblCellMar>
        <w:left w:w="70.0" w:type="dxa"/>
        <w:right w:w="70.0" w:type="dxa"/>
      </w:tblCellMar>
    </w:tblPr>
  </w:style>
  <w:style w:type="table" w:styleId="aa" w:customStyle="1">
    <w:basedOn w:val="TableNormal0"/>
    <w:tblPr>
      <w:tblStyleRowBandSize w:val="1"/>
      <w:tblStyleColBandSize w:val="1"/>
      <w:tblCellMar>
        <w:left w:w="70.0" w:type="dxa"/>
        <w:right w:w="70.0" w:type="dxa"/>
      </w:tblCellMar>
    </w:tblPr>
  </w:style>
  <w:style w:type="table" w:styleId="ab" w:customStyle="1">
    <w:basedOn w:val="TableNormal0"/>
    <w:tblPr>
      <w:tblStyleRowBandSize w:val="1"/>
      <w:tblStyleColBandSize w:val="1"/>
      <w:tblCellMar>
        <w:left w:w="70.0" w:type="dxa"/>
        <w:right w:w="70.0" w:type="dxa"/>
      </w:tblCellMar>
    </w:tblPr>
  </w:style>
  <w:style w:type="table" w:styleId="ac" w:customStyle="1">
    <w:basedOn w:val="TableNormal0"/>
    <w:tblPr>
      <w:tblStyleRowBandSize w:val="1"/>
      <w:tblStyleColBandSize w:val="1"/>
      <w:tblCellMar>
        <w:left w:w="70.0" w:type="dxa"/>
        <w:right w:w="70.0" w:type="dxa"/>
      </w:tblCellMar>
    </w:tblPr>
  </w:style>
  <w:style w:type="table" w:styleId="ad" w:customStyle="1">
    <w:basedOn w:val="TableNormal0"/>
    <w:tblPr>
      <w:tblStyleRowBandSize w:val="1"/>
      <w:tblStyleColBandSize w:val="1"/>
      <w:tblCellMar>
        <w:left w:w="70.0" w:type="dxa"/>
        <w:right w:w="70.0" w:type="dxa"/>
      </w:tblCellMar>
    </w:tblPr>
  </w:style>
  <w:style w:type="table" w:styleId="ae" w:customStyle="1">
    <w:basedOn w:val="TableNormal0"/>
    <w:tblPr>
      <w:tblStyleRowBandSize w:val="1"/>
      <w:tblStyleColBandSize w:val="1"/>
      <w:tblCellMar>
        <w:left w:w="70.0" w:type="dxa"/>
        <w:right w:w="70.0" w:type="dxa"/>
      </w:tblCellMar>
    </w:tblPr>
  </w:style>
  <w:style w:type="table" w:styleId="af" w:customStyle="1">
    <w:basedOn w:val="TableNormal0"/>
    <w:tblPr>
      <w:tblStyleRowBandSize w:val="1"/>
      <w:tblStyleColBandSize w:val="1"/>
      <w:tblCellMar>
        <w:left w:w="70.0" w:type="dxa"/>
        <w:right w:w="70.0" w:type="dxa"/>
      </w:tblCellMar>
    </w:tblPr>
  </w:style>
  <w:style w:type="table" w:styleId="af0"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00rPGjuCJZnAIpVLeUVEJlYwCA==">CgMxLjA4AHIhMURuUUl5MXJQMVZaRWVDM0E4ckROai1QUU8zbWZleGNX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2024-08-05T21:23:00Z</dcterms:created>
  <dc:creator>ISOCHA</dc:creator>
</cp:coreProperties>
</file>