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B9AC" w14:textId="57E31604" w:rsidR="00E96344" w:rsidRPr="00E96344" w:rsidRDefault="00E96344" w:rsidP="00E96344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</w:pPr>
      <w:r w:rsidRPr="0024691F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 xml:space="preserve">Avances en la gestión de riesgos de corrupción de </w:t>
      </w:r>
      <w:proofErr w:type="gramStart"/>
      <w:r w:rsidRPr="0024691F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 xml:space="preserve">la  </w:t>
      </w:r>
      <w:r w:rsidRPr="00E96344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>Fundación</w:t>
      </w:r>
      <w:proofErr w:type="gramEnd"/>
      <w:r w:rsidRPr="00E96344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 xml:space="preserve"> Gilberto </w:t>
      </w:r>
      <w:proofErr w:type="spellStart"/>
      <w:r w:rsidRPr="00E96344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>Alzate</w:t>
      </w:r>
      <w:proofErr w:type="spellEnd"/>
      <w:r w:rsidRPr="00E96344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 xml:space="preserve"> Avendaño (FUGA)</w:t>
      </w:r>
      <w:r w:rsidRPr="0024691F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 xml:space="preserve"> </w:t>
      </w:r>
      <w:r w:rsidR="00C1536B" w:rsidRPr="0024691F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>–</w:t>
      </w:r>
      <w:r w:rsidRPr="0024691F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 xml:space="preserve"> </w:t>
      </w:r>
      <w:r w:rsidR="00C1536B" w:rsidRPr="0024691F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 xml:space="preserve">I Semestre </w:t>
      </w:r>
      <w:r w:rsidRPr="00E96344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>2025</w:t>
      </w:r>
    </w:p>
    <w:p w14:paraId="4BC829CC" w14:textId="77777777" w:rsidR="00DB1923" w:rsidRDefault="00E96344" w:rsidP="00E9634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O"/>
        </w:rPr>
      </w:pP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Durante la vigencia 2025, la Fundación Gilberto </w:t>
      </w:r>
      <w:proofErr w:type="spellStart"/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>Alzate</w:t>
      </w:r>
      <w:proofErr w:type="spellEnd"/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 Avendaño ha fortalecido su </w:t>
      </w:r>
      <w:r w:rsidRPr="00E96344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>modelo de gestión del riesgo de corrupción</w:t>
      </w: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, garantizando que las decisiones institucionales se adopten bajo criterios de transparencia, integridad y eficiencia en el uso de los recursos públicos. </w:t>
      </w:r>
    </w:p>
    <w:p w14:paraId="3D413D91" w14:textId="0C17FCB2" w:rsidR="00DB1923" w:rsidRPr="00E96344" w:rsidRDefault="00DB1923" w:rsidP="00DB192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O"/>
        </w:rPr>
      </w:pPr>
      <w:r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El 2024 </w:t>
      </w:r>
      <w:r>
        <w:rPr>
          <w:rFonts w:ascii="Arial" w:hAnsi="Arial" w:cs="Arial"/>
          <w:color w:val="1F1F1F"/>
          <w:shd w:val="clear" w:color="auto" w:fill="FFFFFF"/>
        </w:rPr>
        <w:t xml:space="preserve">actualizamos nuestra Política de Administración de Riesgos </w:t>
      </w:r>
      <w:r>
        <w:rPr>
          <w:rFonts w:ascii="Century Gothic" w:eastAsia="Times New Roman" w:hAnsi="Century Gothic" w:cs="Times New Roman"/>
          <w:sz w:val="24"/>
          <w:szCs w:val="24"/>
          <w:lang w:eastAsia="es-CO"/>
        </w:rPr>
        <w:t>e</w:t>
      </w:r>
      <w:r w:rsidRPr="0024691F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n el marco de la </w:t>
      </w: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metodología definida por el Departamento Administrativo de la Función Pública en la </w:t>
      </w:r>
      <w:r w:rsidRPr="00E96344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 xml:space="preserve">Guía de Administración del Riesgo versión </w:t>
      </w:r>
      <w:r w:rsidRPr="0024691F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>6</w:t>
      </w: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, </w:t>
      </w:r>
      <w:r w:rsidRPr="0024691F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la FUGA ha </w:t>
      </w: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priorizando los riesgos más relevantes y </w:t>
      </w: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>definió</w:t>
      </w: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 controles preventivos y </w:t>
      </w:r>
      <w:proofErr w:type="spellStart"/>
      <w:r w:rsidRPr="0024691F">
        <w:rPr>
          <w:rFonts w:ascii="Century Gothic" w:eastAsia="Times New Roman" w:hAnsi="Century Gothic" w:cs="Times New Roman"/>
          <w:sz w:val="24"/>
          <w:szCs w:val="24"/>
          <w:lang w:eastAsia="es-CO"/>
        </w:rPr>
        <w:t>detectivos</w:t>
      </w:r>
      <w:proofErr w:type="spellEnd"/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>. Como resultado, se identificaron riesgos asociados a la contratación pública, la gestión documental y los procesos de promoción cultural</w:t>
      </w:r>
      <w:r w:rsidRPr="0024691F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 y riesgos asociados a eventos de SARLAFT,</w:t>
      </w: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 los cuales fueron evaluados bajo criterios de probabilidad e impacto. Gracias a esta evaluación, la entidad logró focalizar acciones preventivas y fortalecer los mecanismos de supervisión y control interno, minimizando las posibilidades de ocurrencia de hechos de corrupción.</w:t>
      </w:r>
    </w:p>
    <w:p w14:paraId="4B395A71" w14:textId="1AB8034D" w:rsidR="00DB1923" w:rsidRDefault="00DB1923" w:rsidP="00DB192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1F1F1F"/>
          <w:shd w:val="clear" w:color="auto" w:fill="FFFFFF"/>
        </w:rPr>
      </w:pPr>
      <w:r>
        <w:rPr>
          <w:noProof/>
        </w:rPr>
        <w:drawing>
          <wp:inline distT="0" distB="0" distL="0" distR="0" wp14:anchorId="206361A3" wp14:editId="0F0E593D">
            <wp:extent cx="4152900" cy="2238375"/>
            <wp:effectExtent l="0" t="0" r="0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9DDFC00-C2A0-2400-C9F6-790991C592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4CDFB8A" w14:textId="6BB4A6A8" w:rsidR="00E96344" w:rsidRPr="00E96344" w:rsidRDefault="00DB1923" w:rsidP="00E9634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O"/>
        </w:rPr>
      </w:pPr>
      <w:r>
        <w:rPr>
          <w:rFonts w:ascii="Century Gothic" w:eastAsia="Times New Roman" w:hAnsi="Century Gothic" w:cs="Times New Roman"/>
          <w:sz w:val="24"/>
          <w:szCs w:val="24"/>
          <w:lang w:eastAsia="es-CO"/>
        </w:rPr>
        <w:t>L</w:t>
      </w:r>
      <w:r w:rsidR="00E96344"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>a Oficina Asesora de Planeación</w:t>
      </w:r>
      <w:r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 </w:t>
      </w:r>
      <w:r w:rsidRPr="0024691F">
        <w:rPr>
          <w:rFonts w:ascii="Century Gothic" w:eastAsia="Times New Roman" w:hAnsi="Century Gothic" w:cs="Times New Roman"/>
          <w:sz w:val="24"/>
          <w:szCs w:val="24"/>
          <w:lang w:eastAsia="es-CO"/>
        </w:rPr>
        <w:t>en su rol de segunda línea</w:t>
      </w:r>
      <w:r w:rsidR="00E96344"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>,</w:t>
      </w:r>
      <w:r w:rsidR="00C1536B" w:rsidRPr="0024691F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 realizó monitoreo para los dos primeros cuatrimestres del</w:t>
      </w:r>
      <w:r w:rsidR="0024691F" w:rsidRPr="0024691F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 2025</w:t>
      </w:r>
      <w:r w:rsidR="00C1536B" w:rsidRPr="0024691F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 al </w:t>
      </w:r>
      <w:r w:rsidR="00C1536B" w:rsidRPr="00E96344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>Mapa de Riesgos de Corrupción</w:t>
      </w:r>
      <w:r w:rsidR="00C1536B" w:rsidRPr="0024691F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 donde se logró validar la </w:t>
      </w:r>
      <w:r w:rsidR="00E96344"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identificación, análisis y valoración de riesgos </w:t>
      </w:r>
      <w:r w:rsidR="00C1536B" w:rsidRPr="0024691F">
        <w:rPr>
          <w:rFonts w:ascii="Century Gothic" w:eastAsia="Times New Roman" w:hAnsi="Century Gothic" w:cs="Times New Roman"/>
          <w:sz w:val="24"/>
          <w:szCs w:val="24"/>
          <w:lang w:eastAsia="es-CO"/>
        </w:rPr>
        <w:t>por parte de la primera línea de defensa.</w:t>
      </w:r>
      <w:r w:rsidR="00E96344"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 Esta actualización responde al compromiso institucional con la mejora continua y la rendición de cuentas hacia la ciudadanía.</w:t>
      </w:r>
      <w:r w:rsidR="00C1536B" w:rsidRPr="0024691F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 De igual manera desde la tercera línea la Oficina de Control Interno realizo la evaluación respectiva sobre el seguimiento realizado en cada uno de los cuatrimestres del 2025. </w:t>
      </w:r>
    </w:p>
    <w:p w14:paraId="3A262627" w14:textId="3326DF64" w:rsidR="00E96344" w:rsidRPr="00E96344" w:rsidRDefault="00E96344" w:rsidP="00E9634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O"/>
        </w:rPr>
      </w:pP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Entre los avances más significativos se destaca la implementación de </w:t>
      </w:r>
      <w:r w:rsidRPr="00E96344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>mecanismos de control más robustos</w:t>
      </w: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, tales como la trazabilidad en los </w:t>
      </w: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lastRenderedPageBreak/>
        <w:t>procesos contractuales</w:t>
      </w:r>
      <w:r w:rsidRPr="0024691F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 y</w:t>
      </w: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 la estandarización </w:t>
      </w:r>
      <w:r w:rsidRPr="0024691F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y actualización </w:t>
      </w: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>de procedimientos. Adicionalmente, se fortalecieron los canales de comunicación interna y externa, incluyendo la publicación del mapa de riesgos y sus planes de tratamiento en el micrositio de transparencia, con el propósito de garantizar el acceso ciudadano a la información pública y promover la vigilancia social. Estas acciones contribuyen al cumplimiento del principio de publicidad y fortalecen la confianza de los ciudadanos en la gestión de la FUGA.</w:t>
      </w:r>
    </w:p>
    <w:p w14:paraId="64926F85" w14:textId="77777777" w:rsidR="00E96344" w:rsidRPr="00E96344" w:rsidRDefault="00E96344" w:rsidP="00E9634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O"/>
        </w:rPr>
      </w:pP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Asimismo, la Fundación ha promovido una </w:t>
      </w:r>
      <w:r w:rsidRPr="00E96344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>cultura organizacional basada en la ética pública</w:t>
      </w: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>, mediante jornadas de sensibilización dirigidas a servidores y contratistas sobre la importancia de la prevención de la corrupción y el manejo responsable de los recursos públicos. Estas actividades han fomentado la apropiación de los valores institucionales y la responsabilidad compartida en la identificación y mitigación de riesgos. De igual manera, se ha trabajado en la articulación del Comité Institucional de Coordinación de Control Interno para realizar seguimiento periódico a la efectividad de los controles definidos, garantizando una supervisión integral del sistema.</w:t>
      </w:r>
    </w:p>
    <w:p w14:paraId="60CD3AD9" w14:textId="77777777" w:rsidR="00E96344" w:rsidRPr="00E96344" w:rsidRDefault="00E96344" w:rsidP="00E9634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O"/>
        </w:rPr>
      </w:pP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Finalmente, la gestión de riesgos de corrupción en 2025 evidencia </w:t>
      </w:r>
      <w:r w:rsidRPr="00E96344">
        <w:rPr>
          <w:rFonts w:ascii="Century Gothic" w:eastAsia="Times New Roman" w:hAnsi="Century Gothic" w:cs="Times New Roman"/>
          <w:b/>
          <w:bCs/>
          <w:sz w:val="24"/>
          <w:szCs w:val="24"/>
          <w:lang w:eastAsia="es-CO"/>
        </w:rPr>
        <w:t>avances concretos hacia una administración más transparente, preventiva y participativa</w:t>
      </w:r>
      <w:r w:rsidRPr="00E96344">
        <w:rPr>
          <w:rFonts w:ascii="Century Gothic" w:eastAsia="Times New Roman" w:hAnsi="Century Gothic" w:cs="Times New Roman"/>
          <w:sz w:val="24"/>
          <w:szCs w:val="24"/>
          <w:lang w:eastAsia="es-CO"/>
        </w:rPr>
        <w:t>. La FUGA reafirma su compromiso con la integridad institucional y la mejora continua del Sistema de Control Interno, impulsando acciones que fortalezcan la confianza ciudadana y aseguren el cumplimiento de los fines esenciales del Estado. El trabajo articulado entre las diferentes dependencias y la adopción de buenas prácticas en la gestión del riesgo posicionan a la Fundación como una entidad responsable, ética y comprometida con la cultura de la legalidad en el sector público.</w:t>
      </w:r>
    </w:p>
    <w:p w14:paraId="13283596" w14:textId="1696586A" w:rsidR="00642A8C" w:rsidRPr="0024691F" w:rsidRDefault="00C1536B">
      <w:pPr>
        <w:rPr>
          <w:rFonts w:ascii="Century Gothic" w:eastAsia="Times New Roman" w:hAnsi="Century Gothic" w:cs="Times New Roman"/>
          <w:sz w:val="24"/>
          <w:szCs w:val="24"/>
          <w:lang w:eastAsia="es-CO"/>
        </w:rPr>
      </w:pPr>
      <w:r w:rsidRPr="0024691F">
        <w:rPr>
          <w:rFonts w:ascii="Century Gothic" w:eastAsia="Times New Roman" w:hAnsi="Century Gothic" w:cs="Times New Roman"/>
          <w:sz w:val="24"/>
          <w:szCs w:val="24"/>
          <w:lang w:eastAsia="es-CO"/>
        </w:rPr>
        <w:t>Consulta acá nuestro mapa de riesgos 2025</w:t>
      </w:r>
    </w:p>
    <w:p w14:paraId="20CA8FDC" w14:textId="4FECD49B" w:rsidR="0024691F" w:rsidRPr="0024691F" w:rsidRDefault="0024691F">
      <w:pPr>
        <w:rPr>
          <w:rFonts w:ascii="Century Gothic" w:eastAsia="Times New Roman" w:hAnsi="Century Gothic" w:cs="Times New Roman"/>
          <w:sz w:val="24"/>
          <w:szCs w:val="24"/>
          <w:lang w:eastAsia="es-CO"/>
        </w:rPr>
      </w:pPr>
      <w:r w:rsidRPr="0024691F">
        <w:rPr>
          <w:rFonts w:ascii="Century Gothic" w:eastAsia="Times New Roman" w:hAnsi="Century Gothic" w:cs="Times New Roman"/>
          <w:sz w:val="24"/>
          <w:szCs w:val="24"/>
          <w:lang w:eastAsia="es-CO"/>
        </w:rPr>
        <w:t xml:space="preserve">LINK. </w:t>
      </w:r>
      <w:hyperlink r:id="rId5" w:history="1">
        <w:r w:rsidRPr="0024691F">
          <w:rPr>
            <w:rStyle w:val="Hipervnculo"/>
            <w:rFonts w:ascii="Century Gothic" w:eastAsia="Times New Roman" w:hAnsi="Century Gothic" w:cs="Times New Roman"/>
            <w:sz w:val="24"/>
            <w:szCs w:val="24"/>
            <w:lang w:eastAsia="es-CO"/>
          </w:rPr>
          <w:t>https://www.fuga.gov.co/transparencia-y-acceso-a-la-informacion-publica/planeacion-presupuesto-informes/plan-anticorrupcion/gestion-de-riesgos-de-corrupcion</w:t>
        </w:r>
      </w:hyperlink>
    </w:p>
    <w:p w14:paraId="6DABEA32" w14:textId="77777777" w:rsidR="0024691F" w:rsidRPr="0024691F" w:rsidRDefault="0024691F">
      <w:pPr>
        <w:rPr>
          <w:rFonts w:ascii="Century Gothic" w:eastAsia="Times New Roman" w:hAnsi="Century Gothic" w:cs="Times New Roman"/>
          <w:sz w:val="24"/>
          <w:szCs w:val="24"/>
          <w:lang w:eastAsia="es-CO"/>
        </w:rPr>
      </w:pPr>
    </w:p>
    <w:p w14:paraId="3F2277D7" w14:textId="285C5557" w:rsidR="00E96344" w:rsidRPr="0024691F" w:rsidRDefault="00E96344">
      <w:pPr>
        <w:rPr>
          <w:rFonts w:ascii="Century Gothic" w:hAnsi="Century Gothic"/>
          <w:sz w:val="24"/>
          <w:szCs w:val="24"/>
        </w:rPr>
      </w:pPr>
    </w:p>
    <w:p w14:paraId="7942A319" w14:textId="0C77F4A4" w:rsidR="00E96344" w:rsidRPr="0024691F" w:rsidRDefault="00E96344">
      <w:pPr>
        <w:rPr>
          <w:rFonts w:ascii="Century Gothic" w:hAnsi="Century Gothic"/>
          <w:sz w:val="24"/>
          <w:szCs w:val="24"/>
        </w:rPr>
      </w:pPr>
    </w:p>
    <w:sectPr w:rsidR="00E96344" w:rsidRPr="002469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44"/>
    <w:rsid w:val="0018179F"/>
    <w:rsid w:val="0024691F"/>
    <w:rsid w:val="00642A8C"/>
    <w:rsid w:val="00C1536B"/>
    <w:rsid w:val="00DB1923"/>
    <w:rsid w:val="00E9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8716"/>
  <w15:chartTrackingRefBased/>
  <w15:docId w15:val="{A39D46C6-9CA6-4FB8-B61A-913D2347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963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96344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Textoennegrita">
    <w:name w:val="Strong"/>
    <w:basedOn w:val="Fuentedeprrafopredeter"/>
    <w:uiPriority w:val="22"/>
    <w:qFormat/>
    <w:rsid w:val="00E963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469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6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uga.gov.co/transparencia-y-acceso-a-la-informacion-publica/planeacion-presupuesto-informes/plan-anticorrupcion/gestion-de-riesgos-de-corrupcion" TargetMode="Externa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MARINO\Downloads\Graficos%20D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'TOTAL RIESGOS'!$B$42</c:f>
              <c:strCache>
                <c:ptCount val="1"/>
                <c:pt idx="0">
                  <c:v>Riesgos Corrupción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'TOTAL RIESGOS'!$A$43:$A$49</c:f>
              <c:strCache>
                <c:ptCount val="7"/>
                <c:pt idx="0">
                  <c:v>Planeación</c:v>
                </c:pt>
                <c:pt idx="1">
                  <c:v>Gestión  TIC</c:v>
                </c:pt>
                <c:pt idx="2">
                  <c:v>Evaluación Independiente de la Gestión</c:v>
                </c:pt>
                <c:pt idx="3">
                  <c:v>Gestión del Talento Humano</c:v>
                </c:pt>
                <c:pt idx="4">
                  <c:v>Control Disciplinario</c:v>
                </c:pt>
                <c:pt idx="5">
                  <c:v>Gestión Juridica</c:v>
                </c:pt>
                <c:pt idx="6">
                  <c:v>Transformación Cultural para la revitalización del centro</c:v>
                </c:pt>
              </c:strCache>
            </c:strRef>
          </c:cat>
          <c:val>
            <c:numRef>
              <c:f>'TOTAL RIESGOS'!$B$43:$B$49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93-43BF-942F-B294DA88F34E}"/>
            </c:ext>
          </c:extLst>
        </c:ser>
        <c:ser>
          <c:idx val="1"/>
          <c:order val="1"/>
          <c:tx>
            <c:strRef>
              <c:f>'TOTAL RIESGOS'!$C$42</c:f>
              <c:strCache>
                <c:ptCount val="1"/>
                <c:pt idx="0">
                  <c:v>Controles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'TOTAL RIESGOS'!$A$43:$A$49</c:f>
              <c:strCache>
                <c:ptCount val="7"/>
                <c:pt idx="0">
                  <c:v>Planeación</c:v>
                </c:pt>
                <c:pt idx="1">
                  <c:v>Gestión  TIC</c:v>
                </c:pt>
                <c:pt idx="2">
                  <c:v>Evaluación Independiente de la Gestión</c:v>
                </c:pt>
                <c:pt idx="3">
                  <c:v>Gestión del Talento Humano</c:v>
                </c:pt>
                <c:pt idx="4">
                  <c:v>Control Disciplinario</c:v>
                </c:pt>
                <c:pt idx="5">
                  <c:v>Gestión Juridica</c:v>
                </c:pt>
                <c:pt idx="6">
                  <c:v>Transformación Cultural para la revitalización del centro</c:v>
                </c:pt>
              </c:strCache>
            </c:strRef>
          </c:cat>
          <c:val>
            <c:numRef>
              <c:f>'TOTAL RIESGOS'!$C$43:$C$49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93-43BF-942F-B294DA88F3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21385151"/>
        <c:axId val="1721384319"/>
      </c:barChart>
      <c:catAx>
        <c:axId val="17213851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721384319"/>
        <c:crosses val="autoZero"/>
        <c:auto val="1"/>
        <c:lblAlgn val="ctr"/>
        <c:lblOffset val="100"/>
        <c:noMultiLvlLbl val="0"/>
      </c:catAx>
      <c:valAx>
        <c:axId val="1721384319"/>
        <c:scaling>
          <c:orientation val="minMax"/>
          <c:max val="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721385151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Dalila Mariño Morales</dc:creator>
  <cp:keywords/>
  <dc:description/>
  <cp:lastModifiedBy>Ingrid Dalila Mariño Morales</cp:lastModifiedBy>
  <cp:revision>4</cp:revision>
  <dcterms:created xsi:type="dcterms:W3CDTF">2025-10-23T04:39:00Z</dcterms:created>
  <dcterms:modified xsi:type="dcterms:W3CDTF">2025-10-23T04:57:00Z</dcterms:modified>
</cp:coreProperties>
</file>